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6959BF" w:rsidRDefault="00154679" w:rsidP="00154679">
      <w:pPr>
        <w:jc w:val="center"/>
        <w:rPr>
          <w:rFonts w:ascii="Goudy Old Style" w:hAnsi="Goudy Old Style"/>
          <w:b/>
        </w:rPr>
      </w:pPr>
      <w:r w:rsidRPr="006959BF">
        <w:rPr>
          <w:rFonts w:ascii="Goudy Old Style" w:hAnsi="Goudy Old Style"/>
          <w:b/>
        </w:rPr>
        <w:t>AGPA Connect 2023 Presenter Information</w:t>
      </w:r>
    </w:p>
    <w:p w14:paraId="606644C3" w14:textId="77777777" w:rsidR="00154679" w:rsidRPr="006959BF" w:rsidRDefault="00154679" w:rsidP="00154679">
      <w:pPr>
        <w:rPr>
          <w:rFonts w:ascii="Goudy Old Style" w:hAnsi="Goudy Old Style"/>
        </w:rPr>
      </w:pPr>
    </w:p>
    <w:p w14:paraId="4E68D511" w14:textId="6029A499" w:rsidR="00154679" w:rsidRPr="006959BF" w:rsidRDefault="00154679" w:rsidP="00154679">
      <w:pPr>
        <w:rPr>
          <w:rFonts w:ascii="Goudy Old Style" w:hAnsi="Goudy Old Style"/>
        </w:rPr>
      </w:pPr>
      <w:r w:rsidRPr="006959BF">
        <w:rPr>
          <w:rFonts w:ascii="Goudy Old Style" w:hAnsi="Goudy Old Style"/>
          <w:b/>
        </w:rPr>
        <w:t>Course Code:</w:t>
      </w:r>
      <w:r w:rsidRPr="006959BF">
        <w:rPr>
          <w:rFonts w:ascii="Goudy Old Style" w:hAnsi="Goudy Old Style"/>
        </w:rPr>
        <w:t xml:space="preserve"> </w:t>
      </w:r>
      <w:r w:rsidR="00600F45" w:rsidRPr="006959BF">
        <w:rPr>
          <w:rFonts w:ascii="Goudy Old Style" w:hAnsi="Goudy Old Style"/>
        </w:rPr>
        <w:t>4</w:t>
      </w:r>
      <w:r w:rsidR="003B0FB4" w:rsidRPr="006959BF">
        <w:rPr>
          <w:rFonts w:ascii="Goudy Old Style" w:hAnsi="Goudy Old Style"/>
        </w:rPr>
        <w:t>2</w:t>
      </w:r>
      <w:r w:rsidR="00F36488" w:rsidRPr="006959BF">
        <w:rPr>
          <w:rFonts w:ascii="Goudy Old Style" w:hAnsi="Goudy Old Style"/>
        </w:rPr>
        <w:t>-5</w:t>
      </w:r>
      <w:r w:rsidRPr="006959BF">
        <w:rPr>
          <w:rFonts w:ascii="Goudy Old Style" w:hAnsi="Goudy Old Style"/>
        </w:rPr>
        <w:fldChar w:fldCharType="begin"/>
      </w:r>
      <w:r w:rsidRPr="006959BF">
        <w:rPr>
          <w:rFonts w:ascii="Goudy Old Style" w:hAnsi="Goudy Old Style"/>
        </w:rPr>
        <w:instrText xml:space="preserve"> MERGEFIELD  Code  \* MERGEFORMAT </w:instrText>
      </w:r>
      <w:r w:rsidRPr="006959BF">
        <w:rPr>
          <w:rFonts w:ascii="Goudy Old Style" w:hAnsi="Goudy Old Style"/>
        </w:rPr>
        <w:fldChar w:fldCharType="end"/>
      </w:r>
    </w:p>
    <w:p w14:paraId="26C2BA0E" w14:textId="1831B4DC" w:rsidR="00154679" w:rsidRPr="006959BF" w:rsidRDefault="00154679" w:rsidP="00154679">
      <w:pPr>
        <w:rPr>
          <w:rFonts w:ascii="Goudy Old Style" w:hAnsi="Goudy Old Style"/>
          <w:bCs/>
        </w:rPr>
      </w:pPr>
      <w:r w:rsidRPr="006959BF">
        <w:rPr>
          <w:rFonts w:ascii="Goudy Old Style" w:hAnsi="Goudy Old Style"/>
          <w:b/>
        </w:rPr>
        <w:t xml:space="preserve">Course Title: </w:t>
      </w:r>
      <w:r w:rsidR="003B0FB4" w:rsidRPr="006959BF">
        <w:rPr>
          <w:rFonts w:ascii="Goudy Old Style" w:hAnsi="Goudy Old Style"/>
          <w:bCs/>
        </w:rPr>
        <w:t>Creating Safe Spaces for Marginalized Populations at University Counseling Centers and Other Settings</w:t>
      </w:r>
    </w:p>
    <w:p w14:paraId="17686C80" w14:textId="77777777" w:rsidR="00154679" w:rsidRPr="006959BF" w:rsidRDefault="00154679" w:rsidP="00154679">
      <w:pPr>
        <w:rPr>
          <w:rFonts w:ascii="Goudy Old Style" w:hAnsi="Goudy Old Style"/>
        </w:rPr>
      </w:pPr>
    </w:p>
    <w:p w14:paraId="1C1733EF" w14:textId="172B80B2" w:rsidR="00154679" w:rsidRPr="006959BF" w:rsidRDefault="00154679" w:rsidP="00154679">
      <w:pPr>
        <w:rPr>
          <w:rFonts w:ascii="Goudy Old Style" w:hAnsi="Goudy Old Style"/>
          <w:bCs/>
        </w:rPr>
      </w:pPr>
      <w:r w:rsidRPr="006959BF">
        <w:rPr>
          <w:rFonts w:ascii="Goudy Old Style" w:hAnsi="Goudy Old Style"/>
          <w:b/>
        </w:rPr>
        <w:t xml:space="preserve">Course Times: </w:t>
      </w:r>
      <w:r w:rsidR="00F36488" w:rsidRPr="006959BF">
        <w:rPr>
          <w:rFonts w:ascii="Goudy Old Style" w:hAnsi="Goudy Old Style"/>
          <w:bCs/>
        </w:rPr>
        <w:t>4</w:t>
      </w:r>
      <w:r w:rsidRPr="006959BF">
        <w:rPr>
          <w:rFonts w:ascii="Goudy Old Style" w:hAnsi="Goudy Old Style"/>
          <w:bCs/>
        </w:rPr>
        <w:t>:</w:t>
      </w:r>
      <w:r w:rsidR="005352CD" w:rsidRPr="006959BF">
        <w:rPr>
          <w:rFonts w:ascii="Goudy Old Style" w:hAnsi="Goudy Old Style"/>
          <w:bCs/>
        </w:rPr>
        <w:t>3</w:t>
      </w:r>
      <w:r w:rsidRPr="006959BF">
        <w:rPr>
          <w:rFonts w:ascii="Goudy Old Style" w:hAnsi="Goudy Old Style"/>
          <w:bCs/>
        </w:rPr>
        <w:t xml:space="preserve">0 </w:t>
      </w:r>
      <w:r w:rsidR="005352CD" w:rsidRPr="006959BF">
        <w:rPr>
          <w:rFonts w:ascii="Goudy Old Style" w:hAnsi="Goudy Old Style"/>
          <w:bCs/>
        </w:rPr>
        <w:t xml:space="preserve">PM </w:t>
      </w:r>
      <w:r w:rsidRPr="006959BF">
        <w:rPr>
          <w:rFonts w:ascii="Goudy Old Style" w:hAnsi="Goudy Old Style"/>
          <w:bCs/>
        </w:rPr>
        <w:t xml:space="preserve">- </w:t>
      </w:r>
      <w:r w:rsidR="00F36488" w:rsidRPr="006959BF">
        <w:rPr>
          <w:rFonts w:ascii="Goudy Old Style" w:hAnsi="Goudy Old Style"/>
          <w:bCs/>
        </w:rPr>
        <w:t>6</w:t>
      </w:r>
      <w:r w:rsidRPr="006959BF">
        <w:rPr>
          <w:rFonts w:ascii="Goudy Old Style" w:hAnsi="Goudy Old Style"/>
          <w:bCs/>
        </w:rPr>
        <w:t>:</w:t>
      </w:r>
      <w:r w:rsidR="005352CD" w:rsidRPr="006959BF">
        <w:rPr>
          <w:rFonts w:ascii="Goudy Old Style" w:hAnsi="Goudy Old Style"/>
          <w:bCs/>
        </w:rPr>
        <w:t>0</w:t>
      </w:r>
      <w:r w:rsidRPr="006959BF">
        <w:rPr>
          <w:rFonts w:ascii="Goudy Old Style" w:hAnsi="Goudy Old Style"/>
          <w:bCs/>
        </w:rPr>
        <w:t xml:space="preserve">0 PM </w:t>
      </w:r>
    </w:p>
    <w:p w14:paraId="41300B9A" w14:textId="77777777" w:rsidR="00154679" w:rsidRPr="006959BF" w:rsidRDefault="00154679" w:rsidP="00154679">
      <w:pPr>
        <w:rPr>
          <w:rFonts w:ascii="Goudy Old Style" w:hAnsi="Goudy Old Style"/>
        </w:rPr>
      </w:pPr>
      <w:r w:rsidRPr="006959BF">
        <w:rPr>
          <w:rFonts w:ascii="Goudy Old Style" w:hAnsi="Goudy Old Style"/>
          <w:b/>
        </w:rPr>
        <w:t xml:space="preserve">Course Dates: </w:t>
      </w:r>
      <w:r w:rsidRPr="006959BF">
        <w:rPr>
          <w:rFonts w:ascii="Goudy Old Style" w:hAnsi="Goudy Old Style"/>
        </w:rPr>
        <w:t>Friday, March 10</w:t>
      </w:r>
    </w:p>
    <w:p w14:paraId="6B39DA20" w14:textId="77777777" w:rsidR="00154679" w:rsidRPr="006959BF" w:rsidRDefault="00154679" w:rsidP="00154679">
      <w:pPr>
        <w:rPr>
          <w:rFonts w:ascii="Goudy Old Style" w:hAnsi="Goudy Old Style"/>
        </w:rPr>
      </w:pPr>
    </w:p>
    <w:p w14:paraId="16F414D6" w14:textId="77777777" w:rsidR="006959BF" w:rsidRPr="006959BF" w:rsidRDefault="00154679" w:rsidP="00600F45">
      <w:pPr>
        <w:rPr>
          <w:rFonts w:ascii="Goudy Old Style" w:hAnsi="Goudy Old Style"/>
          <w:bCs/>
        </w:rPr>
      </w:pPr>
      <w:r w:rsidRPr="006959BF">
        <w:rPr>
          <w:rFonts w:ascii="Goudy Old Style" w:hAnsi="Goudy Old Style"/>
          <w:b/>
        </w:rPr>
        <w:t xml:space="preserve">Instructors: </w:t>
      </w:r>
      <w:r w:rsidRPr="006959BF">
        <w:rPr>
          <w:rFonts w:ascii="Goudy Old Style" w:hAnsi="Goudy Old Style"/>
          <w:b/>
        </w:rPr>
        <w:tab/>
      </w:r>
      <w:r w:rsidRPr="006959BF">
        <w:rPr>
          <w:rFonts w:ascii="Goudy Old Style" w:hAnsi="Goudy Old Style"/>
          <w:b/>
        </w:rPr>
        <w:tab/>
      </w:r>
      <w:r w:rsidR="006959BF" w:rsidRPr="006959BF">
        <w:rPr>
          <w:rFonts w:ascii="Goudy Old Style" w:hAnsi="Goudy Old Style"/>
          <w:bCs/>
        </w:rPr>
        <w:t>Olivia Scott</w:t>
      </w:r>
    </w:p>
    <w:p w14:paraId="6DE7DF66" w14:textId="5A20FF80" w:rsidR="00076249" w:rsidRPr="006959BF" w:rsidRDefault="006959BF" w:rsidP="00600F45">
      <w:pPr>
        <w:rPr>
          <w:rFonts w:ascii="Goudy Old Style" w:hAnsi="Goudy Old Style"/>
          <w:bCs/>
        </w:rPr>
      </w:pPr>
      <w:r w:rsidRPr="006959BF">
        <w:rPr>
          <w:rFonts w:ascii="Goudy Old Style" w:hAnsi="Goudy Old Style"/>
          <w:bCs/>
        </w:rPr>
        <w:tab/>
      </w:r>
      <w:r w:rsidRPr="006959BF">
        <w:rPr>
          <w:rFonts w:ascii="Goudy Old Style" w:hAnsi="Goudy Old Style"/>
          <w:bCs/>
        </w:rPr>
        <w:tab/>
      </w:r>
      <w:r w:rsidRPr="006959BF">
        <w:rPr>
          <w:rFonts w:ascii="Goudy Old Style" w:hAnsi="Goudy Old Style"/>
          <w:bCs/>
        </w:rPr>
        <w:tab/>
      </w:r>
      <w:r w:rsidRPr="006959BF">
        <w:rPr>
          <w:rFonts w:ascii="Goudy Old Style" w:hAnsi="Goudy Old Style"/>
          <w:bCs/>
        </w:rPr>
        <w:t>Markie Silverman</w:t>
      </w:r>
      <w:r w:rsidR="00076249" w:rsidRPr="006959BF">
        <w:rPr>
          <w:rFonts w:ascii="Goudy Old Style" w:hAnsi="Goudy Old Style"/>
          <w:bCs/>
        </w:rPr>
        <w:tab/>
      </w:r>
      <w:r w:rsidR="00076249" w:rsidRPr="006959BF">
        <w:rPr>
          <w:rFonts w:ascii="Goudy Old Style" w:hAnsi="Goudy Old Style"/>
          <w:bCs/>
        </w:rPr>
        <w:tab/>
      </w:r>
      <w:r w:rsidR="00076249" w:rsidRPr="006959BF">
        <w:rPr>
          <w:rFonts w:ascii="Goudy Old Style" w:hAnsi="Goudy Old Style"/>
          <w:bCs/>
        </w:rPr>
        <w:tab/>
      </w:r>
    </w:p>
    <w:p w14:paraId="1E99DCFE" w14:textId="01427750" w:rsidR="00154679" w:rsidRPr="006959BF" w:rsidRDefault="00154679" w:rsidP="00076249">
      <w:pPr>
        <w:rPr>
          <w:rFonts w:ascii="Goudy Old Style" w:hAnsi="Goudy Old Style"/>
          <w:b/>
        </w:rPr>
      </w:pPr>
      <w:r w:rsidRPr="006959BF">
        <w:rPr>
          <w:rFonts w:ascii="Goudy Old Style" w:hAnsi="Goudy Old Style"/>
        </w:rPr>
        <w:tab/>
      </w:r>
      <w:r w:rsidRPr="006959BF">
        <w:rPr>
          <w:rFonts w:ascii="Goudy Old Style" w:hAnsi="Goudy Old Style"/>
        </w:rPr>
        <w:tab/>
      </w:r>
      <w:r w:rsidRPr="006959BF">
        <w:rPr>
          <w:rFonts w:ascii="Goudy Old Style" w:hAnsi="Goudy Old Style"/>
        </w:rPr>
        <w:tab/>
      </w:r>
    </w:p>
    <w:p w14:paraId="4A586CCE" w14:textId="582022FF" w:rsidR="00154679" w:rsidRPr="006959BF" w:rsidRDefault="00154679" w:rsidP="006959BF">
      <w:pPr>
        <w:rPr>
          <w:rFonts w:ascii="Goudy Old Style" w:hAnsi="Goudy Old Style"/>
          <w:bCs/>
        </w:rPr>
      </w:pPr>
      <w:r w:rsidRPr="006959BF">
        <w:rPr>
          <w:rFonts w:ascii="Goudy Old Style" w:hAnsi="Goudy Old Style"/>
          <w:b/>
        </w:rPr>
        <w:t>Course Description:</w:t>
      </w:r>
      <w:r w:rsidR="00271026" w:rsidRPr="006959BF">
        <w:rPr>
          <w:rFonts w:ascii="Goudy Old Style" w:hAnsi="Goudy Old Style"/>
          <w:b/>
        </w:rPr>
        <w:t xml:space="preserve"> </w:t>
      </w:r>
      <w:r w:rsidR="006959BF" w:rsidRPr="006959BF">
        <w:rPr>
          <w:rFonts w:ascii="Goudy Old Style" w:hAnsi="Goudy Old Style"/>
          <w:bCs/>
        </w:rPr>
        <w:t>Affinity groups are a way to make safe spaces for students from marginalized populations. With increasing diversity at universities, it is important for counseling centers to create spaces where students with minoritized identities can feel safe, gain support, and explore their identity development. This workshop covers the importance of providing affinity groups and strategies to overcome barriers to providing these spaces. It will conclude with discussion/consultation among workshop participants. All individuals interested in group program development and affinity groups are welcomed.</w:t>
      </w:r>
    </w:p>
    <w:p w14:paraId="63EB80A7" w14:textId="77777777" w:rsidR="006959BF" w:rsidRPr="006959BF" w:rsidRDefault="006959BF" w:rsidP="006959BF">
      <w:pPr>
        <w:rPr>
          <w:rFonts w:ascii="Goudy Old Style" w:hAnsi="Goudy Old Style"/>
        </w:rPr>
      </w:pPr>
    </w:p>
    <w:p w14:paraId="3D530396" w14:textId="77777777" w:rsidR="00154679" w:rsidRPr="006959BF" w:rsidRDefault="00154679" w:rsidP="00154679">
      <w:pPr>
        <w:rPr>
          <w:rFonts w:ascii="Goudy Old Style" w:hAnsi="Goudy Old Style"/>
          <w:b/>
        </w:rPr>
      </w:pPr>
      <w:r w:rsidRPr="006959BF">
        <w:rPr>
          <w:rFonts w:ascii="Goudy Old Style" w:hAnsi="Goudy Old Style"/>
          <w:b/>
        </w:rPr>
        <w:t xml:space="preserve">Learning Objectives </w:t>
      </w:r>
    </w:p>
    <w:p w14:paraId="34BD68C9" w14:textId="77777777" w:rsidR="00154679" w:rsidRPr="006959BF" w:rsidRDefault="00154679" w:rsidP="00154679">
      <w:pPr>
        <w:rPr>
          <w:rFonts w:ascii="Goudy Old Style" w:hAnsi="Goudy Old Style"/>
          <w:color w:val="000000"/>
          <w:shd w:val="clear" w:color="auto" w:fill="FFFFFF"/>
        </w:rPr>
      </w:pPr>
      <w:r w:rsidRPr="006959BF">
        <w:rPr>
          <w:rFonts w:ascii="Goudy Old Style" w:hAnsi="Goudy Old Style" w:cs="Arial"/>
          <w:color w:val="000000"/>
          <w:shd w:val="clear" w:color="auto" w:fill="FFFFFF"/>
        </w:rPr>
        <w:t>The attendee will be able to:</w:t>
      </w:r>
      <w:r w:rsidRPr="006959BF">
        <w:rPr>
          <w:color w:val="000000"/>
          <w:shd w:val="clear" w:color="auto" w:fill="FFFFFF"/>
        </w:rPr>
        <w:t>‎</w:t>
      </w:r>
    </w:p>
    <w:p w14:paraId="4823C725" w14:textId="3FF01958" w:rsidR="006959BF" w:rsidRPr="006959BF" w:rsidRDefault="00154679" w:rsidP="006959BF">
      <w:pPr>
        <w:pStyle w:val="ListParagraph"/>
        <w:numPr>
          <w:ilvl w:val="0"/>
          <w:numId w:val="1"/>
        </w:numPr>
        <w:rPr>
          <w:rFonts w:ascii="Goudy Old Style" w:hAnsi="Goudy Old Style"/>
          <w:color w:val="000000"/>
          <w:shd w:val="clear" w:color="auto" w:fill="FFFFFF"/>
        </w:rPr>
      </w:pPr>
      <w:r w:rsidRPr="006959BF">
        <w:rPr>
          <w:color w:val="000000"/>
          <w:shd w:val="clear" w:color="auto" w:fill="FFFFFF"/>
        </w:rPr>
        <w:t>‎‎‎</w:t>
      </w:r>
      <w:r w:rsidR="006C34E2" w:rsidRPr="006959BF">
        <w:rPr>
          <w:color w:val="000000"/>
          <w:shd w:val="clear" w:color="auto" w:fill="FFFFFF"/>
        </w:rPr>
        <w:t>‎</w:t>
      </w:r>
      <w:r w:rsidR="00F36488" w:rsidRPr="006959BF">
        <w:rPr>
          <w:color w:val="000000"/>
          <w:shd w:val="clear" w:color="auto" w:fill="FFFFFF"/>
        </w:rPr>
        <w:t>‎</w:t>
      </w:r>
      <w:r w:rsidR="006959BF" w:rsidRPr="006959BF">
        <w:rPr>
          <w:rFonts w:ascii="Goudy Old Style" w:hAnsi="Goudy Old Style"/>
          <w:color w:val="000000"/>
          <w:shd w:val="clear" w:color="auto" w:fill="FFFFFF"/>
        </w:rPr>
        <w:t>Describe the importance of affinity groups.</w:t>
      </w:r>
      <w:r w:rsidR="006959BF" w:rsidRPr="006959BF">
        <w:rPr>
          <w:color w:val="000000"/>
          <w:shd w:val="clear" w:color="auto" w:fill="FFFFFF"/>
        </w:rPr>
        <w:t>‎</w:t>
      </w:r>
    </w:p>
    <w:p w14:paraId="1F9BBEBE" w14:textId="54A1AE36" w:rsidR="006959BF" w:rsidRPr="006959BF" w:rsidRDefault="006959BF" w:rsidP="006959BF">
      <w:pPr>
        <w:pStyle w:val="ListParagraph"/>
        <w:numPr>
          <w:ilvl w:val="0"/>
          <w:numId w:val="1"/>
        </w:numPr>
        <w:rPr>
          <w:rFonts w:ascii="Goudy Old Style" w:hAnsi="Goudy Old Style"/>
          <w:color w:val="000000"/>
          <w:shd w:val="clear" w:color="auto" w:fill="FFFFFF"/>
        </w:rPr>
      </w:pPr>
      <w:r w:rsidRPr="006959BF">
        <w:rPr>
          <w:color w:val="000000"/>
          <w:shd w:val="clear" w:color="auto" w:fill="FFFFFF"/>
        </w:rPr>
        <w:t>‎</w:t>
      </w:r>
      <w:r w:rsidRPr="006959BF">
        <w:rPr>
          <w:rFonts w:ascii="Goudy Old Style" w:hAnsi="Goudy Old Style"/>
          <w:color w:val="000000"/>
          <w:shd w:val="clear" w:color="auto" w:fill="FFFFFF"/>
        </w:rPr>
        <w:t>Design and create affinity spaces for marginalized groups that are inclusive and empowering.</w:t>
      </w:r>
      <w:r w:rsidRPr="006959BF">
        <w:rPr>
          <w:color w:val="000000"/>
          <w:shd w:val="clear" w:color="auto" w:fill="FFFFFF"/>
        </w:rPr>
        <w:t>‎</w:t>
      </w:r>
    </w:p>
    <w:p w14:paraId="34F152DF" w14:textId="28F85F74" w:rsidR="006959BF" w:rsidRPr="006959BF" w:rsidRDefault="006959BF" w:rsidP="006959BF">
      <w:pPr>
        <w:pStyle w:val="ListParagraph"/>
        <w:numPr>
          <w:ilvl w:val="0"/>
          <w:numId w:val="1"/>
        </w:numPr>
        <w:rPr>
          <w:rFonts w:ascii="Goudy Old Style" w:hAnsi="Goudy Old Style"/>
          <w:color w:val="000000"/>
          <w:shd w:val="clear" w:color="auto" w:fill="FFFFFF"/>
        </w:rPr>
      </w:pPr>
      <w:r w:rsidRPr="006959BF">
        <w:rPr>
          <w:color w:val="000000"/>
          <w:shd w:val="clear" w:color="auto" w:fill="FFFFFF"/>
        </w:rPr>
        <w:t>‎</w:t>
      </w:r>
      <w:r w:rsidRPr="006959BF">
        <w:rPr>
          <w:rFonts w:ascii="Goudy Old Style" w:hAnsi="Goudy Old Style"/>
          <w:color w:val="000000"/>
          <w:shd w:val="clear" w:color="auto" w:fill="FFFFFF"/>
        </w:rPr>
        <w:t>Specify strategies for marketing affinity spaces and recruiting participants.</w:t>
      </w:r>
      <w:r w:rsidRPr="006959BF">
        <w:rPr>
          <w:color w:val="000000"/>
          <w:shd w:val="clear" w:color="auto" w:fill="FFFFFF"/>
        </w:rPr>
        <w:t>‎</w:t>
      </w:r>
    </w:p>
    <w:p w14:paraId="4810BD20" w14:textId="739BCB7D" w:rsidR="00181251" w:rsidRPr="006959BF" w:rsidRDefault="006959BF" w:rsidP="006959BF">
      <w:pPr>
        <w:pStyle w:val="ListParagraph"/>
        <w:numPr>
          <w:ilvl w:val="0"/>
          <w:numId w:val="1"/>
        </w:numPr>
        <w:rPr>
          <w:rFonts w:ascii="Goudy Old Style" w:hAnsi="Goudy Old Style"/>
          <w:b/>
        </w:rPr>
      </w:pPr>
      <w:r w:rsidRPr="006959BF">
        <w:rPr>
          <w:color w:val="000000"/>
          <w:shd w:val="clear" w:color="auto" w:fill="FFFFFF"/>
        </w:rPr>
        <w:t>‎</w:t>
      </w:r>
      <w:r w:rsidRPr="006959BF">
        <w:rPr>
          <w:rFonts w:ascii="Goudy Old Style" w:hAnsi="Goudy Old Style"/>
          <w:color w:val="000000"/>
          <w:shd w:val="clear" w:color="auto" w:fill="FFFFFF"/>
        </w:rPr>
        <w:t>Identify amendments to current group practice to better serve marginalized populations.</w:t>
      </w:r>
      <w:r w:rsidRPr="006959BF">
        <w:rPr>
          <w:color w:val="000000"/>
          <w:shd w:val="clear" w:color="auto" w:fill="FFFFFF"/>
        </w:rPr>
        <w:t>‎</w:t>
      </w:r>
    </w:p>
    <w:p w14:paraId="0C8C9F76" w14:textId="77777777" w:rsidR="00600F45" w:rsidRPr="006959BF" w:rsidRDefault="00600F45" w:rsidP="00600F45">
      <w:pPr>
        <w:pStyle w:val="ListParagraph"/>
        <w:rPr>
          <w:rFonts w:ascii="Goudy Old Style" w:hAnsi="Goudy Old Style"/>
          <w:b/>
        </w:rPr>
      </w:pPr>
    </w:p>
    <w:p w14:paraId="222ABB71" w14:textId="68129C46" w:rsidR="003406EC" w:rsidRPr="006959BF" w:rsidRDefault="00154679" w:rsidP="0083342A">
      <w:pPr>
        <w:rPr>
          <w:rFonts w:ascii="Goudy Old Style" w:hAnsi="Goudy Old Style"/>
          <w:b/>
        </w:rPr>
      </w:pPr>
      <w:r w:rsidRPr="006959BF">
        <w:rPr>
          <w:rFonts w:ascii="Goudy Old Style" w:hAnsi="Goudy Old Style"/>
          <w:b/>
        </w:rPr>
        <w:t>Significant Articles:</w:t>
      </w:r>
    </w:p>
    <w:p w14:paraId="028BEEC7" w14:textId="77777777" w:rsidR="006959BF" w:rsidRPr="006959BF" w:rsidRDefault="006959BF" w:rsidP="006959BF">
      <w:pPr>
        <w:pStyle w:val="ListParagraph"/>
        <w:numPr>
          <w:ilvl w:val="0"/>
          <w:numId w:val="14"/>
        </w:numPr>
        <w:rPr>
          <w:rFonts w:ascii="Goudy Old Style" w:hAnsi="Goudy Old Style"/>
          <w:bCs/>
        </w:rPr>
      </w:pPr>
      <w:r w:rsidRPr="006959BF">
        <w:rPr>
          <w:rFonts w:ascii="Goudy Old Style" w:hAnsi="Goudy Old Style"/>
          <w:bCs/>
        </w:rPr>
        <w:t xml:space="preserve">French, B. H., Lewis, J. A., Mosley, D. V., </w:t>
      </w:r>
      <w:proofErr w:type="spellStart"/>
      <w:r w:rsidRPr="006959BF">
        <w:rPr>
          <w:rFonts w:ascii="Goudy Old Style" w:hAnsi="Goudy Old Style"/>
          <w:bCs/>
        </w:rPr>
        <w:t>Adames</w:t>
      </w:r>
      <w:proofErr w:type="spellEnd"/>
      <w:r w:rsidRPr="006959BF">
        <w:rPr>
          <w:rFonts w:ascii="Goudy Old Style" w:hAnsi="Goudy Old Style"/>
          <w:bCs/>
        </w:rPr>
        <w:t>, H. Y., Chavez-</w:t>
      </w:r>
      <w:proofErr w:type="spellStart"/>
      <w:r w:rsidRPr="006959BF">
        <w:rPr>
          <w:rFonts w:ascii="Goudy Old Style" w:hAnsi="Goudy Old Style"/>
          <w:bCs/>
        </w:rPr>
        <w:t>Dueñas</w:t>
      </w:r>
      <w:proofErr w:type="spellEnd"/>
      <w:r w:rsidRPr="006959BF">
        <w:rPr>
          <w:rFonts w:ascii="Goudy Old Style" w:hAnsi="Goudy Old Style"/>
          <w:bCs/>
        </w:rPr>
        <w:t xml:space="preserve">, N. Y., Chen, G. A., &amp; Neville, H. </w:t>
      </w:r>
      <w:r w:rsidRPr="006959BF">
        <w:rPr>
          <w:bCs/>
        </w:rPr>
        <w:t>‎</w:t>
      </w:r>
      <w:r w:rsidRPr="006959BF">
        <w:rPr>
          <w:rFonts w:ascii="Goudy Old Style" w:hAnsi="Goudy Old Style"/>
          <w:bCs/>
        </w:rPr>
        <w:t xml:space="preserve">A. (2020). Toward a psychological framework of radical healing in communities of color. The Counseling </w:t>
      </w:r>
      <w:r w:rsidRPr="006959BF">
        <w:rPr>
          <w:bCs/>
        </w:rPr>
        <w:t>‎</w:t>
      </w:r>
      <w:r w:rsidRPr="006959BF">
        <w:rPr>
          <w:rFonts w:ascii="Goudy Old Style" w:hAnsi="Goudy Old Style"/>
          <w:bCs/>
        </w:rPr>
        <w:t>Psychologist, 48(1), 14-46. https://doi.org/10.1177/0011000019843506</w:t>
      </w:r>
      <w:r w:rsidRPr="006959BF">
        <w:rPr>
          <w:bCs/>
        </w:rPr>
        <w:t>‎</w:t>
      </w:r>
    </w:p>
    <w:p w14:paraId="4D53F852" w14:textId="77777777" w:rsidR="006959BF" w:rsidRPr="006959BF" w:rsidRDefault="006959BF" w:rsidP="006959BF">
      <w:pPr>
        <w:pStyle w:val="ListParagraph"/>
        <w:numPr>
          <w:ilvl w:val="0"/>
          <w:numId w:val="14"/>
        </w:numPr>
        <w:rPr>
          <w:rFonts w:ascii="Goudy Old Style" w:hAnsi="Goudy Old Style"/>
          <w:bCs/>
        </w:rPr>
      </w:pPr>
      <w:r w:rsidRPr="006959BF">
        <w:rPr>
          <w:rFonts w:ascii="Goudy Old Style" w:hAnsi="Goudy Old Style"/>
          <w:bCs/>
        </w:rPr>
        <w:t xml:space="preserve">Chen, E. C., Boyd, D. M., &amp; Cunningham, C. A. (2020). Demarginalizing stigmatized identities of </w:t>
      </w:r>
      <w:r w:rsidRPr="006959BF">
        <w:rPr>
          <w:bCs/>
        </w:rPr>
        <w:t>‎</w:t>
      </w:r>
      <w:r w:rsidRPr="006959BF">
        <w:rPr>
          <w:rFonts w:ascii="Goudy Old Style" w:hAnsi="Goudy Old Style"/>
          <w:bCs/>
        </w:rPr>
        <w:t xml:space="preserve">transgender and gender nonconforming individuals through affirmative group therapy. International </w:t>
      </w:r>
      <w:r w:rsidRPr="006959BF">
        <w:rPr>
          <w:bCs/>
        </w:rPr>
        <w:t>‎</w:t>
      </w:r>
      <w:r w:rsidRPr="006959BF">
        <w:rPr>
          <w:rFonts w:ascii="Goudy Old Style" w:hAnsi="Goudy Old Style"/>
          <w:bCs/>
        </w:rPr>
        <w:t>Journal of Group Psychotherapy, 70(4), 552-578. https://doi.org/10.1080/00207284.2020.1755291</w:t>
      </w:r>
      <w:r w:rsidRPr="006959BF">
        <w:rPr>
          <w:bCs/>
        </w:rPr>
        <w:t>‎</w:t>
      </w:r>
    </w:p>
    <w:p w14:paraId="296A4C31" w14:textId="77777777" w:rsidR="006959BF" w:rsidRPr="006959BF" w:rsidRDefault="006959BF" w:rsidP="006959BF">
      <w:pPr>
        <w:pStyle w:val="ListParagraph"/>
        <w:numPr>
          <w:ilvl w:val="0"/>
          <w:numId w:val="14"/>
        </w:numPr>
        <w:rPr>
          <w:rFonts w:ascii="Goudy Old Style" w:hAnsi="Goudy Old Style"/>
          <w:bCs/>
        </w:rPr>
      </w:pPr>
      <w:r w:rsidRPr="006959BF">
        <w:rPr>
          <w:rFonts w:ascii="Goudy Old Style" w:hAnsi="Goudy Old Style"/>
          <w:bCs/>
        </w:rPr>
        <w:t xml:space="preserve">Pour-Khorshid, F. (2019). Cultivating sacred spaces: a racial affinity group approach to support critical </w:t>
      </w:r>
      <w:r w:rsidRPr="006959BF">
        <w:rPr>
          <w:bCs/>
        </w:rPr>
        <w:t>‎</w:t>
      </w:r>
      <w:r w:rsidRPr="006959BF">
        <w:rPr>
          <w:rFonts w:ascii="Goudy Old Style" w:hAnsi="Goudy Old Style"/>
          <w:bCs/>
        </w:rPr>
        <w:t>educators of color. Teaching Education, 29(4), 318</w:t>
      </w:r>
      <w:r w:rsidRPr="006959BF">
        <w:rPr>
          <w:rFonts w:ascii="Goudy Old Style" w:hAnsi="Goudy Old Style" w:cs="Goudy Old Style"/>
          <w:bCs/>
        </w:rPr>
        <w:t>–</w:t>
      </w:r>
      <w:r w:rsidRPr="006959BF">
        <w:rPr>
          <w:rFonts w:ascii="Goudy Old Style" w:hAnsi="Goudy Old Style"/>
          <w:bCs/>
        </w:rPr>
        <w:t xml:space="preserve">329. </w:t>
      </w:r>
      <w:r w:rsidRPr="006959BF">
        <w:rPr>
          <w:bCs/>
        </w:rPr>
        <w:t>‎</w:t>
      </w:r>
      <w:r w:rsidRPr="006959BF">
        <w:rPr>
          <w:rFonts w:ascii="Goudy Old Style" w:hAnsi="Goudy Old Style"/>
          <w:bCs/>
        </w:rPr>
        <w:t>https://doi.org/10.1080/10476210.2018.1512092</w:t>
      </w:r>
      <w:r w:rsidRPr="006959BF">
        <w:rPr>
          <w:bCs/>
        </w:rPr>
        <w:t>‎</w:t>
      </w:r>
    </w:p>
    <w:p w14:paraId="6DF9BB94" w14:textId="77777777" w:rsidR="006959BF" w:rsidRPr="006959BF" w:rsidRDefault="006959BF" w:rsidP="006959BF">
      <w:pPr>
        <w:pStyle w:val="ListParagraph"/>
        <w:numPr>
          <w:ilvl w:val="0"/>
          <w:numId w:val="14"/>
        </w:numPr>
        <w:rPr>
          <w:rFonts w:ascii="Goudy Old Style" w:hAnsi="Goudy Old Style"/>
          <w:bCs/>
        </w:rPr>
      </w:pPr>
      <w:r w:rsidRPr="006959BF">
        <w:rPr>
          <w:rFonts w:ascii="Goudy Old Style" w:hAnsi="Goudy Old Style"/>
          <w:bCs/>
        </w:rPr>
        <w:t xml:space="preserve">Darby, M. E., </w:t>
      </w:r>
      <w:proofErr w:type="spellStart"/>
      <w:r w:rsidRPr="006959BF">
        <w:rPr>
          <w:rFonts w:ascii="Goudy Old Style" w:hAnsi="Goudy Old Style"/>
          <w:bCs/>
        </w:rPr>
        <w:t>Bolland-Hillesheim</w:t>
      </w:r>
      <w:proofErr w:type="spellEnd"/>
      <w:r w:rsidRPr="006959BF">
        <w:rPr>
          <w:rFonts w:ascii="Goudy Old Style" w:hAnsi="Goudy Old Style"/>
          <w:bCs/>
        </w:rPr>
        <w:t xml:space="preserve">, K., Cervantes, A., &amp; Hitter, T. L. (2020). Ethical considerations in group </w:t>
      </w:r>
      <w:r w:rsidRPr="006959BF">
        <w:rPr>
          <w:bCs/>
        </w:rPr>
        <w:t>‎</w:t>
      </w:r>
      <w:r w:rsidRPr="006959BF">
        <w:rPr>
          <w:rFonts w:ascii="Goudy Old Style" w:hAnsi="Goudy Old Style"/>
          <w:bCs/>
        </w:rPr>
        <w:t xml:space="preserve">work with transgender/gender diverse clients. International Journal of Group Psychotherapy, 70(4), </w:t>
      </w:r>
      <w:r w:rsidRPr="006959BF">
        <w:rPr>
          <w:bCs/>
        </w:rPr>
        <w:t>‎‎</w:t>
      </w:r>
      <w:r w:rsidRPr="006959BF">
        <w:rPr>
          <w:rFonts w:ascii="Goudy Old Style" w:hAnsi="Goudy Old Style"/>
          <w:bCs/>
        </w:rPr>
        <w:t>579</w:t>
      </w:r>
      <w:r w:rsidRPr="006959BF">
        <w:rPr>
          <w:rFonts w:ascii="Goudy Old Style" w:hAnsi="Goudy Old Style" w:cs="Goudy Old Style"/>
          <w:bCs/>
        </w:rPr>
        <w:t>–</w:t>
      </w:r>
      <w:r w:rsidRPr="006959BF">
        <w:rPr>
          <w:rFonts w:ascii="Goudy Old Style" w:hAnsi="Goudy Old Style"/>
          <w:bCs/>
        </w:rPr>
        <w:t>598. https://doi-org./10.1080/00207284.2020.1787173</w:t>
      </w:r>
      <w:r w:rsidRPr="006959BF">
        <w:rPr>
          <w:bCs/>
        </w:rPr>
        <w:t>‎</w:t>
      </w:r>
    </w:p>
    <w:p w14:paraId="6F84C241" w14:textId="6CDB6710" w:rsidR="00600F45" w:rsidRPr="006959BF" w:rsidRDefault="006959BF" w:rsidP="006959BF">
      <w:pPr>
        <w:pStyle w:val="ListParagraph"/>
        <w:numPr>
          <w:ilvl w:val="0"/>
          <w:numId w:val="14"/>
        </w:numPr>
        <w:rPr>
          <w:rFonts w:ascii="Goudy Old Style" w:hAnsi="Goudy Old Style"/>
          <w:bCs/>
        </w:rPr>
      </w:pPr>
      <w:proofErr w:type="spellStart"/>
      <w:r w:rsidRPr="006959BF">
        <w:rPr>
          <w:rFonts w:ascii="Goudy Old Style" w:hAnsi="Goudy Old Style"/>
          <w:bCs/>
        </w:rPr>
        <w:lastRenderedPageBreak/>
        <w:t>Poquiz</w:t>
      </w:r>
      <w:proofErr w:type="spellEnd"/>
      <w:r w:rsidRPr="006959BF">
        <w:rPr>
          <w:rFonts w:ascii="Goudy Old Style" w:hAnsi="Goudy Old Style"/>
          <w:bCs/>
        </w:rPr>
        <w:t xml:space="preserve">, J. L., </w:t>
      </w:r>
      <w:proofErr w:type="spellStart"/>
      <w:r w:rsidRPr="006959BF">
        <w:rPr>
          <w:rFonts w:ascii="Goudy Old Style" w:hAnsi="Goudy Old Style"/>
          <w:bCs/>
        </w:rPr>
        <w:t>Shrodes</w:t>
      </w:r>
      <w:proofErr w:type="spellEnd"/>
      <w:r w:rsidRPr="006959BF">
        <w:rPr>
          <w:rFonts w:ascii="Goudy Old Style" w:hAnsi="Goudy Old Style"/>
          <w:bCs/>
        </w:rPr>
        <w:t xml:space="preserve">, A., Garofalo, R., Chen, D., &amp; Coyne, C. A. (2021). Supporting pride, activism, </w:t>
      </w:r>
      <w:r w:rsidRPr="006959BF">
        <w:rPr>
          <w:bCs/>
        </w:rPr>
        <w:t>‎</w:t>
      </w:r>
      <w:r w:rsidRPr="006959BF">
        <w:rPr>
          <w:rFonts w:ascii="Goudy Old Style" w:hAnsi="Goudy Old Style"/>
          <w:bCs/>
        </w:rPr>
        <w:t xml:space="preserve">resiliency, and community: A telemedicine-based group for youth with intersecting gender and racial </w:t>
      </w:r>
      <w:r w:rsidRPr="006959BF">
        <w:rPr>
          <w:bCs/>
        </w:rPr>
        <w:t>‎</w:t>
      </w:r>
      <w:r w:rsidRPr="006959BF">
        <w:rPr>
          <w:rFonts w:ascii="Goudy Old Style" w:hAnsi="Goudy Old Style"/>
          <w:bCs/>
        </w:rPr>
        <w:t>minority identities. Transgender Health. https://doi.org/10.1089/trgh.2020.0152</w:t>
      </w:r>
      <w:r w:rsidRPr="006959BF">
        <w:rPr>
          <w:bCs/>
        </w:rPr>
        <w:t>‎</w:t>
      </w:r>
    </w:p>
    <w:p w14:paraId="380DBECF" w14:textId="77777777" w:rsidR="006959BF" w:rsidRPr="006959BF" w:rsidRDefault="006959BF" w:rsidP="006959BF">
      <w:pPr>
        <w:rPr>
          <w:rFonts w:ascii="Goudy Old Style" w:hAnsi="Goudy Old Style"/>
          <w:bCs/>
        </w:rPr>
      </w:pPr>
    </w:p>
    <w:p w14:paraId="650EA136" w14:textId="41422FEC" w:rsidR="00154679" w:rsidRPr="006959BF" w:rsidRDefault="00154679" w:rsidP="00116BA6">
      <w:pPr>
        <w:rPr>
          <w:rFonts w:ascii="Goudy Old Style" w:hAnsi="Goudy Old Style"/>
          <w:b/>
        </w:rPr>
      </w:pPr>
      <w:r w:rsidRPr="006959BF">
        <w:rPr>
          <w:rFonts w:ascii="Goudy Old Style" w:hAnsi="Goudy Old Style"/>
          <w:b/>
        </w:rPr>
        <w:t>Agenda:</w:t>
      </w:r>
    </w:p>
    <w:p w14:paraId="68EBFD2D" w14:textId="77777777" w:rsidR="006959BF" w:rsidRPr="006959BF" w:rsidRDefault="006959BF" w:rsidP="006959BF">
      <w:pPr>
        <w:spacing w:line="240" w:lineRule="exact"/>
        <w:rPr>
          <w:rFonts w:ascii="Goudy Old Style" w:eastAsia="Arial" w:hAnsi="Goudy Old Style"/>
          <w:color w:val="000000"/>
        </w:rPr>
      </w:pPr>
      <w:r w:rsidRPr="006959BF">
        <w:rPr>
          <w:rFonts w:ascii="Goudy Old Style" w:eastAsia="Arial" w:hAnsi="Goudy Old Style"/>
          <w:color w:val="000000"/>
        </w:rPr>
        <w:t>Introduction of presenters, overview of objectives and agenda (5 minutes, all Silverman and Scott)</w:t>
      </w:r>
    </w:p>
    <w:p w14:paraId="3BF99063" w14:textId="77777777" w:rsidR="006959BF" w:rsidRPr="006959BF" w:rsidRDefault="006959BF" w:rsidP="006959BF">
      <w:pPr>
        <w:spacing w:line="240" w:lineRule="exact"/>
        <w:rPr>
          <w:rFonts w:ascii="Goudy Old Style" w:eastAsia="Arial" w:hAnsi="Goudy Old Style"/>
          <w:color w:val="000000"/>
        </w:rPr>
      </w:pPr>
      <w:r w:rsidRPr="006959BF">
        <w:rPr>
          <w:rFonts w:ascii="Goudy Old Style" w:eastAsia="Arial" w:hAnsi="Goudy Old Style"/>
          <w:color w:val="000000"/>
        </w:rPr>
        <w:t xml:space="preserve">Poll of attendees (5 minutes, Silverman) </w:t>
      </w:r>
    </w:p>
    <w:p w14:paraId="5878DC5B" w14:textId="77777777" w:rsidR="006959BF" w:rsidRPr="006959BF" w:rsidRDefault="006959BF" w:rsidP="006959BF">
      <w:pPr>
        <w:spacing w:line="240" w:lineRule="exact"/>
        <w:rPr>
          <w:rFonts w:ascii="Goudy Old Style" w:eastAsia="Arial" w:hAnsi="Goudy Old Style"/>
          <w:color w:val="000000"/>
        </w:rPr>
      </w:pPr>
      <w:r w:rsidRPr="006959BF">
        <w:rPr>
          <w:rFonts w:ascii="Goudy Old Style" w:eastAsia="Arial" w:hAnsi="Goudy Old Style"/>
          <w:color w:val="000000"/>
        </w:rPr>
        <w:t xml:space="preserve">Didactic Presentation (30 minutes, all presenters) Review literature regarding the need and benefits of affinity groups (Silverman and Scott; learning objectives </w:t>
      </w:r>
    </w:p>
    <w:p w14:paraId="4640818F" w14:textId="142AD18B" w:rsidR="006959BF" w:rsidRPr="006959BF" w:rsidRDefault="006959BF" w:rsidP="006959BF">
      <w:pPr>
        <w:pStyle w:val="ListParagraph"/>
        <w:numPr>
          <w:ilvl w:val="0"/>
          <w:numId w:val="15"/>
        </w:numPr>
        <w:spacing w:line="240" w:lineRule="exact"/>
        <w:rPr>
          <w:rFonts w:ascii="Goudy Old Style" w:eastAsia="Arial" w:hAnsi="Goudy Old Style"/>
          <w:color w:val="000000"/>
        </w:rPr>
      </w:pPr>
      <w:r w:rsidRPr="006959BF">
        <w:rPr>
          <w:rFonts w:ascii="Goudy Old Style" w:eastAsia="Arial" w:hAnsi="Goudy Old Style"/>
          <w:color w:val="000000"/>
        </w:rPr>
        <w:t xml:space="preserve">Presenters will share their respective experiences regarding development of affinity spaces at their institutions (Silverman and </w:t>
      </w:r>
      <w:proofErr w:type="gramStart"/>
      <w:r w:rsidRPr="006959BF">
        <w:rPr>
          <w:rFonts w:ascii="Goudy Old Style" w:eastAsia="Arial" w:hAnsi="Goudy Old Style"/>
          <w:color w:val="000000"/>
        </w:rPr>
        <w:t>Scott;</w:t>
      </w:r>
      <w:proofErr w:type="gramEnd"/>
      <w:r w:rsidRPr="006959BF">
        <w:rPr>
          <w:rFonts w:ascii="Goudy Old Style" w:eastAsia="Arial" w:hAnsi="Goudy Old Style"/>
          <w:color w:val="000000"/>
        </w:rPr>
        <w:t xml:space="preserve"> learning objectives 1, 2, 3, 4).  </w:t>
      </w:r>
    </w:p>
    <w:p w14:paraId="5007D521" w14:textId="77777777" w:rsidR="006959BF" w:rsidRPr="006959BF" w:rsidRDefault="006959BF" w:rsidP="006959BF">
      <w:pPr>
        <w:pStyle w:val="ListParagraph"/>
        <w:numPr>
          <w:ilvl w:val="0"/>
          <w:numId w:val="15"/>
        </w:numPr>
        <w:spacing w:line="240" w:lineRule="exact"/>
        <w:rPr>
          <w:rFonts w:ascii="Goudy Old Style" w:eastAsia="Arial" w:hAnsi="Goudy Old Style"/>
          <w:color w:val="000000"/>
        </w:rPr>
      </w:pPr>
      <w:r w:rsidRPr="006959BF">
        <w:rPr>
          <w:rFonts w:ascii="Goudy Old Style" w:eastAsia="Arial" w:hAnsi="Goudy Old Style"/>
          <w:color w:val="000000"/>
        </w:rPr>
        <w:t xml:space="preserve">Identify strategies for group development of affinity spaces that are inclusive and empowering </w:t>
      </w:r>
    </w:p>
    <w:p w14:paraId="45F3E5B7" w14:textId="49B56C48" w:rsidR="006959BF" w:rsidRPr="006959BF" w:rsidRDefault="006959BF" w:rsidP="006959BF">
      <w:pPr>
        <w:pStyle w:val="ListParagraph"/>
        <w:numPr>
          <w:ilvl w:val="0"/>
          <w:numId w:val="15"/>
        </w:numPr>
        <w:spacing w:line="240" w:lineRule="exact"/>
        <w:rPr>
          <w:rFonts w:ascii="Goudy Old Style" w:eastAsia="Arial" w:hAnsi="Goudy Old Style"/>
          <w:color w:val="000000"/>
        </w:rPr>
      </w:pPr>
      <w:r w:rsidRPr="006959BF">
        <w:rPr>
          <w:rFonts w:ascii="Goudy Old Style" w:eastAsia="Arial" w:hAnsi="Goudy Old Style"/>
          <w:color w:val="000000"/>
        </w:rPr>
        <w:t xml:space="preserve">Identify systemic barriers and identify strategies for overcoming systemic barriers Identify strategies to improve recruitment and retention   </w:t>
      </w:r>
    </w:p>
    <w:p w14:paraId="5E147A37" w14:textId="38C08422" w:rsidR="006959BF" w:rsidRPr="006959BF" w:rsidRDefault="006959BF" w:rsidP="006959BF">
      <w:pPr>
        <w:pStyle w:val="ListParagraph"/>
        <w:numPr>
          <w:ilvl w:val="0"/>
          <w:numId w:val="15"/>
        </w:numPr>
        <w:spacing w:line="240" w:lineRule="exact"/>
        <w:rPr>
          <w:rFonts w:ascii="Goudy Old Style" w:eastAsia="Arial" w:hAnsi="Goudy Old Style"/>
          <w:color w:val="000000"/>
        </w:rPr>
      </w:pPr>
      <w:r w:rsidRPr="006959BF">
        <w:rPr>
          <w:rFonts w:ascii="Goudy Old Style" w:eastAsia="Arial" w:hAnsi="Goudy Old Style"/>
          <w:color w:val="000000"/>
        </w:rPr>
        <w:t xml:space="preserve">4.Break-out groups prompted with the following questions (25 minutes; Silverman and Scott; learning objectives (1, 2, 3, 4): What affinity groups do you currently offer at your institutions? What barriers have you experienced when trying to create safe spaces for marginalized populations? What strategies have you tried to make group spaces more inclusive and empowering? What are some strategies that you have found to be effective/would like to try in managing challenges with creating safe spaces?  </w:t>
      </w:r>
    </w:p>
    <w:p w14:paraId="7C2B3248" w14:textId="52347B03" w:rsidR="006959BF" w:rsidRPr="006959BF" w:rsidRDefault="006959BF" w:rsidP="006959BF">
      <w:pPr>
        <w:pStyle w:val="ListParagraph"/>
        <w:numPr>
          <w:ilvl w:val="0"/>
          <w:numId w:val="15"/>
        </w:numPr>
        <w:spacing w:line="240" w:lineRule="exact"/>
        <w:rPr>
          <w:rFonts w:ascii="Goudy Old Style" w:eastAsia="Arial" w:hAnsi="Goudy Old Style"/>
          <w:color w:val="000000"/>
        </w:rPr>
      </w:pPr>
      <w:r w:rsidRPr="006959BF">
        <w:rPr>
          <w:rFonts w:ascii="Goudy Old Style" w:eastAsia="Arial" w:hAnsi="Goudy Old Style"/>
          <w:color w:val="000000"/>
        </w:rPr>
        <w:t xml:space="preserve">Large discussion group (15 minutes, Scott and Silverman; learning objective 2, 3, 4) Break-out groups report </w:t>
      </w:r>
      <w:proofErr w:type="gramStart"/>
      <w:r w:rsidRPr="006959BF">
        <w:rPr>
          <w:rFonts w:ascii="Goudy Old Style" w:eastAsia="Arial" w:hAnsi="Goudy Old Style"/>
          <w:color w:val="000000"/>
        </w:rPr>
        <w:t>out  Groups</w:t>
      </w:r>
      <w:proofErr w:type="gramEnd"/>
      <w:r w:rsidRPr="006959BF">
        <w:rPr>
          <w:rFonts w:ascii="Goudy Old Style" w:eastAsia="Arial" w:hAnsi="Goudy Old Style"/>
          <w:color w:val="000000"/>
        </w:rPr>
        <w:t xml:space="preserve"> discuss strategies to move forward </w:t>
      </w:r>
    </w:p>
    <w:p w14:paraId="2A49272C" w14:textId="0EFD5416" w:rsidR="006959BF" w:rsidRPr="006959BF" w:rsidRDefault="006959BF" w:rsidP="006959BF">
      <w:pPr>
        <w:pStyle w:val="ListParagraph"/>
        <w:numPr>
          <w:ilvl w:val="0"/>
          <w:numId w:val="15"/>
        </w:numPr>
        <w:spacing w:line="240" w:lineRule="exact"/>
        <w:rPr>
          <w:rFonts w:ascii="Goudy Old Style" w:eastAsia="Arial" w:hAnsi="Goudy Old Style"/>
          <w:color w:val="000000"/>
        </w:rPr>
      </w:pPr>
      <w:r w:rsidRPr="006959BF">
        <w:rPr>
          <w:rFonts w:ascii="Goudy Old Style" w:eastAsia="Arial" w:hAnsi="Goudy Old Style"/>
          <w:color w:val="000000"/>
        </w:rPr>
        <w:t xml:space="preserve">Conclusion and Questions (5 minutes, </w:t>
      </w:r>
      <w:proofErr w:type="gramStart"/>
      <w:r w:rsidRPr="006959BF">
        <w:rPr>
          <w:rFonts w:ascii="Goudy Old Style" w:eastAsia="Arial" w:hAnsi="Goudy Old Style"/>
          <w:color w:val="000000"/>
        </w:rPr>
        <w:t>Silverman</w:t>
      </w:r>
      <w:proofErr w:type="gramEnd"/>
      <w:r w:rsidRPr="006959BF">
        <w:rPr>
          <w:rFonts w:ascii="Goudy Old Style" w:eastAsia="Arial" w:hAnsi="Goudy Old Style"/>
          <w:color w:val="000000"/>
        </w:rPr>
        <w:t xml:space="preserve"> and Scott) </w:t>
      </w:r>
    </w:p>
    <w:p w14:paraId="5BB2BB3B" w14:textId="59FA88A6" w:rsidR="00271026" w:rsidRPr="006959BF" w:rsidRDefault="006959BF" w:rsidP="006959BF">
      <w:pPr>
        <w:pStyle w:val="ListParagraph"/>
        <w:numPr>
          <w:ilvl w:val="0"/>
          <w:numId w:val="15"/>
        </w:numPr>
        <w:spacing w:line="240" w:lineRule="exact"/>
        <w:rPr>
          <w:rFonts w:ascii="Goudy Old Style" w:eastAsia="Arial" w:hAnsi="Goudy Old Style"/>
          <w:color w:val="000000"/>
        </w:rPr>
      </w:pPr>
      <w:r w:rsidRPr="006959BF">
        <w:rPr>
          <w:rFonts w:ascii="Goudy Old Style" w:eastAsia="Arial" w:hAnsi="Goudy Old Style"/>
          <w:color w:val="000000"/>
        </w:rPr>
        <w:t>Session evaluation (5 minutes)</w:t>
      </w:r>
    </w:p>
    <w:p w14:paraId="7B594090" w14:textId="77777777" w:rsidR="006959BF" w:rsidRPr="006959BF" w:rsidRDefault="006959BF" w:rsidP="006959BF">
      <w:pPr>
        <w:pStyle w:val="ListParagraph"/>
        <w:spacing w:line="240" w:lineRule="exact"/>
        <w:rPr>
          <w:rFonts w:ascii="Goudy Old Style" w:eastAsia="Arial" w:hAnsi="Goudy Old Style"/>
          <w:color w:val="000000"/>
        </w:rPr>
      </w:pPr>
    </w:p>
    <w:p w14:paraId="48512BCB" w14:textId="2A0EC29C" w:rsidR="00154679" w:rsidRPr="006959BF" w:rsidRDefault="00154679" w:rsidP="00154679">
      <w:pPr>
        <w:spacing w:line="240" w:lineRule="exact"/>
        <w:rPr>
          <w:rFonts w:ascii="Goudy Old Style" w:hAnsi="Goudy Old Style"/>
          <w:b/>
        </w:rPr>
      </w:pPr>
      <w:r w:rsidRPr="006959BF">
        <w:rPr>
          <w:rFonts w:ascii="Goudy Old Style" w:hAnsi="Goudy Old Style"/>
          <w:b/>
        </w:rPr>
        <w:t>Assessment Questions:</w:t>
      </w:r>
    </w:p>
    <w:p w14:paraId="7D1E00A4"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1 (include possible answers)</w:t>
      </w:r>
    </w:p>
    <w:p w14:paraId="030BA1B9"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T/F Affinity groups are safe spaces where group members from marginalized communities can share experiences and gain support.</w:t>
      </w:r>
    </w:p>
    <w:p w14:paraId="7047D959"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1</w:t>
      </w:r>
    </w:p>
    <w:p w14:paraId="0F6A0C72"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True</w:t>
      </w:r>
    </w:p>
    <w:p w14:paraId="726C2530"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2 (include possible answers)</w:t>
      </w:r>
    </w:p>
    <w:p w14:paraId="39DB8FFC"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 xml:space="preserve">Benefits of affinity groups at college counseling centers </w:t>
      </w:r>
      <w:proofErr w:type="gramStart"/>
      <w:r w:rsidRPr="006959BF">
        <w:rPr>
          <w:rFonts w:ascii="Goudy Old Style" w:hAnsi="Goudy Old Style"/>
          <w:sz w:val="24"/>
          <w:szCs w:val="24"/>
        </w:rPr>
        <w:t>include:</w:t>
      </w:r>
      <w:proofErr w:type="gramEnd"/>
      <w:r w:rsidRPr="006959BF">
        <w:rPr>
          <w:rFonts w:ascii="Goudy Old Style" w:hAnsi="Goudy Old Style"/>
          <w:sz w:val="24"/>
          <w:szCs w:val="24"/>
        </w:rPr>
        <w:t xml:space="preserve"> A) Developing a healthy self-identity B) Building networks and support systems C) Sharing and gain resources D) Combating oppressive socialization E) All of the above</w:t>
      </w:r>
    </w:p>
    <w:p w14:paraId="372F7F9A"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2</w:t>
      </w:r>
    </w:p>
    <w:p w14:paraId="343F149B"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E</w:t>
      </w:r>
    </w:p>
    <w:p w14:paraId="73065A18"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3 (include possible answers)</w:t>
      </w:r>
    </w:p>
    <w:p w14:paraId="55BB381D"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lastRenderedPageBreak/>
        <w:t xml:space="preserve">Which of the following is NOT an example of an Affinity group? A) Combating Anxiety Group B) African American Women’s Group C) Gender Identity and </w:t>
      </w:r>
      <w:proofErr w:type="spellStart"/>
      <w:r w:rsidRPr="006959BF">
        <w:rPr>
          <w:rFonts w:ascii="Goudy Old Style" w:hAnsi="Goudy Old Style"/>
          <w:sz w:val="24"/>
          <w:szCs w:val="24"/>
        </w:rPr>
        <w:t>Attractionality</w:t>
      </w:r>
      <w:proofErr w:type="spellEnd"/>
      <w:r w:rsidRPr="006959BF">
        <w:rPr>
          <w:rFonts w:ascii="Goudy Old Style" w:hAnsi="Goudy Old Style"/>
          <w:sz w:val="24"/>
          <w:szCs w:val="24"/>
        </w:rPr>
        <w:t xml:space="preserve"> group</w:t>
      </w:r>
    </w:p>
    <w:p w14:paraId="0A6491DF"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3</w:t>
      </w:r>
    </w:p>
    <w:p w14:paraId="4F3CC99D"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A</w:t>
      </w:r>
    </w:p>
    <w:p w14:paraId="6A0F6F50"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4 (include possible answers)</w:t>
      </w:r>
    </w:p>
    <w:p w14:paraId="6D2E43C0"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 xml:space="preserve">Important factors to consider when developing affinity groups </w:t>
      </w:r>
      <w:proofErr w:type="gramStart"/>
      <w:r w:rsidRPr="006959BF">
        <w:rPr>
          <w:rFonts w:ascii="Goudy Old Style" w:hAnsi="Goudy Old Style"/>
          <w:sz w:val="24"/>
          <w:szCs w:val="24"/>
        </w:rPr>
        <w:t>include:</w:t>
      </w:r>
      <w:proofErr w:type="gramEnd"/>
      <w:r w:rsidRPr="006959BF">
        <w:rPr>
          <w:rFonts w:ascii="Goudy Old Style" w:hAnsi="Goudy Old Style"/>
          <w:sz w:val="24"/>
          <w:szCs w:val="24"/>
        </w:rPr>
        <w:t xml:space="preserve"> A) Location the group is being offered B) Cultural representation of the group facilitators C) Marketing and advertisement of the groups D) All of the above</w:t>
      </w:r>
    </w:p>
    <w:p w14:paraId="22EA07F9"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4</w:t>
      </w:r>
    </w:p>
    <w:p w14:paraId="0740B29A"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D</w:t>
      </w:r>
    </w:p>
    <w:p w14:paraId="58107AF0"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5 (include possible answers)</w:t>
      </w:r>
    </w:p>
    <w:p w14:paraId="0B491D7C"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Group facilitators may improve recruitment and retention by: A) Providing outreaches to marginalized communities B) Offering groups in locations preferred by group members C) Increasing staff and administration buy-in D) All of the above</w:t>
      </w:r>
    </w:p>
    <w:p w14:paraId="0EFCDECA"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5</w:t>
      </w:r>
    </w:p>
    <w:p w14:paraId="15FB9C77"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D</w:t>
      </w:r>
    </w:p>
    <w:p w14:paraId="70AE33BB"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6 (include possible answers)</w:t>
      </w:r>
    </w:p>
    <w:p w14:paraId="6603771B"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All of these are examples of promoting member empowerment in affinity groups except: A) addressing power differentials between facilitators and members B) having facilitators dictate the group’s agenda to ensure topics are appropriate C) eliciting member feedback about their group experience D) sharing, exploring, and practicing strategies for addressing microaggressions</w:t>
      </w:r>
    </w:p>
    <w:p w14:paraId="2DFD2F7C"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6</w:t>
      </w:r>
    </w:p>
    <w:p w14:paraId="6513785E"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B</w:t>
      </w:r>
    </w:p>
    <w:p w14:paraId="36FDA390"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7 (include possible answers)</w:t>
      </w:r>
    </w:p>
    <w:p w14:paraId="3B7896FE"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In the interest of ethical practice, group facilitators should: A) always have the same identities as the affinity group members B) place responsibility on group members to advertise the space to their community C) discourage all contact between members outside of group D) reflect on how their identities and roles impact the group</w:t>
      </w:r>
    </w:p>
    <w:p w14:paraId="1C455349"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lastRenderedPageBreak/>
        <w:t>Correct Answer 7</w:t>
      </w:r>
    </w:p>
    <w:p w14:paraId="2A98D629"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D</w:t>
      </w:r>
    </w:p>
    <w:p w14:paraId="445CB70A"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8 (include possible answers)</w:t>
      </w:r>
    </w:p>
    <w:p w14:paraId="33E6D3CC"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Affinity groups are a DEI strategy/initiative intended to:  A) Increase social justice and provide safe spaces for marginalized populations B) Exclude others C) Create division</w:t>
      </w:r>
    </w:p>
    <w:p w14:paraId="395818CB"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8</w:t>
      </w:r>
    </w:p>
    <w:p w14:paraId="03BBFBDE"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A</w:t>
      </w:r>
    </w:p>
    <w:p w14:paraId="5DBA1823"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9 (include possible answers)</w:t>
      </w:r>
    </w:p>
    <w:p w14:paraId="473CE229"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 xml:space="preserve">A common barrier to offering affinity groups </w:t>
      </w:r>
      <w:proofErr w:type="gramStart"/>
      <w:r w:rsidRPr="006959BF">
        <w:rPr>
          <w:rFonts w:ascii="Goudy Old Style" w:hAnsi="Goudy Old Style"/>
          <w:sz w:val="24"/>
          <w:szCs w:val="24"/>
        </w:rPr>
        <w:t>is:</w:t>
      </w:r>
      <w:proofErr w:type="gramEnd"/>
      <w:r w:rsidRPr="006959BF">
        <w:rPr>
          <w:rFonts w:ascii="Goudy Old Style" w:hAnsi="Goudy Old Style"/>
          <w:sz w:val="24"/>
          <w:szCs w:val="24"/>
        </w:rPr>
        <w:t xml:space="preserve"> A) Systemic resistance B) Lack of administrative support C) Lack of representation amongst clinical staff/facilitators D) All of the above</w:t>
      </w:r>
    </w:p>
    <w:p w14:paraId="05BD2ADF"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9</w:t>
      </w:r>
    </w:p>
    <w:p w14:paraId="452256AC"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D</w:t>
      </w:r>
    </w:p>
    <w:p w14:paraId="5163DE06"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Question 10 (include possible answers)</w:t>
      </w:r>
    </w:p>
    <w:p w14:paraId="7F496857"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Group facilitators of affinity groups should consider partnerships with the following: A) Campus partners B) Partnerships are not important C) Training programs D) Both A and C</w:t>
      </w:r>
    </w:p>
    <w:p w14:paraId="3E34BB7B" w14:textId="77777777" w:rsidR="006959BF" w:rsidRPr="006959BF" w:rsidRDefault="006959BF" w:rsidP="006959BF">
      <w:pPr>
        <w:pStyle w:val="DefaultLabelStyle"/>
        <w:rPr>
          <w:rFonts w:ascii="Goudy Old Style" w:hAnsi="Goudy Old Style"/>
          <w:sz w:val="24"/>
          <w:szCs w:val="24"/>
        </w:rPr>
      </w:pPr>
      <w:r w:rsidRPr="006959BF">
        <w:rPr>
          <w:rFonts w:ascii="Goudy Old Style" w:hAnsi="Goudy Old Style"/>
          <w:sz w:val="24"/>
          <w:szCs w:val="24"/>
        </w:rPr>
        <w:t>Correct Answer 10</w:t>
      </w:r>
    </w:p>
    <w:p w14:paraId="08092A7D" w14:textId="77777777" w:rsidR="006959BF" w:rsidRPr="006959BF" w:rsidRDefault="006959BF" w:rsidP="006959BF">
      <w:pPr>
        <w:pStyle w:val="DefaultValueStyle"/>
        <w:rPr>
          <w:rFonts w:ascii="Goudy Old Style" w:hAnsi="Goudy Old Style"/>
          <w:sz w:val="24"/>
          <w:szCs w:val="24"/>
        </w:rPr>
      </w:pPr>
      <w:r w:rsidRPr="006959BF">
        <w:rPr>
          <w:rFonts w:ascii="Goudy Old Style" w:hAnsi="Goudy Old Style"/>
          <w:sz w:val="24"/>
          <w:szCs w:val="24"/>
        </w:rPr>
        <w:t>D</w:t>
      </w:r>
    </w:p>
    <w:p w14:paraId="134C9C89" w14:textId="77777777" w:rsidR="006959BF" w:rsidRPr="006959BF" w:rsidRDefault="006959BF" w:rsidP="00154679">
      <w:pPr>
        <w:spacing w:line="240" w:lineRule="exact"/>
        <w:rPr>
          <w:rFonts w:ascii="Goudy Old Style" w:hAnsi="Goudy Old Style"/>
          <w:b/>
        </w:rPr>
      </w:pPr>
    </w:p>
    <w:sectPr w:rsidR="006959BF" w:rsidRPr="006959BF"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0"/>
  </w:num>
  <w:num w:numId="2" w16cid:durableId="1894534703">
    <w:abstractNumId w:val="12"/>
  </w:num>
  <w:num w:numId="3" w16cid:durableId="713122272">
    <w:abstractNumId w:val="2"/>
  </w:num>
  <w:num w:numId="4" w16cid:durableId="430400195">
    <w:abstractNumId w:val="10"/>
  </w:num>
  <w:num w:numId="5" w16cid:durableId="735401727">
    <w:abstractNumId w:val="3"/>
  </w:num>
  <w:num w:numId="6" w16cid:durableId="954216643">
    <w:abstractNumId w:val="7"/>
  </w:num>
  <w:num w:numId="7" w16cid:durableId="1689407959">
    <w:abstractNumId w:val="13"/>
  </w:num>
  <w:num w:numId="8" w16cid:durableId="1144279976">
    <w:abstractNumId w:val="11"/>
  </w:num>
  <w:num w:numId="9" w16cid:durableId="1528713753">
    <w:abstractNumId w:val="9"/>
  </w:num>
  <w:num w:numId="10" w16cid:durableId="1888952887">
    <w:abstractNumId w:val="8"/>
  </w:num>
  <w:num w:numId="11" w16cid:durableId="668366559">
    <w:abstractNumId w:val="4"/>
  </w:num>
  <w:num w:numId="12" w16cid:durableId="491335335">
    <w:abstractNumId w:val="6"/>
  </w:num>
  <w:num w:numId="13" w16cid:durableId="107285001">
    <w:abstractNumId w:val="5"/>
  </w:num>
  <w:num w:numId="14" w16cid:durableId="51201945">
    <w:abstractNumId w:val="14"/>
  </w:num>
  <w:num w:numId="15" w16cid:durableId="99892470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86E32"/>
    <w:rsid w:val="000B311E"/>
    <w:rsid w:val="00116BA6"/>
    <w:rsid w:val="0012037C"/>
    <w:rsid w:val="00154679"/>
    <w:rsid w:val="00181251"/>
    <w:rsid w:val="001D41BA"/>
    <w:rsid w:val="00271026"/>
    <w:rsid w:val="002E0A96"/>
    <w:rsid w:val="00327F6A"/>
    <w:rsid w:val="003406EC"/>
    <w:rsid w:val="00397FE5"/>
    <w:rsid w:val="003B0FB4"/>
    <w:rsid w:val="003E38D2"/>
    <w:rsid w:val="00436A05"/>
    <w:rsid w:val="004E1E16"/>
    <w:rsid w:val="005352CD"/>
    <w:rsid w:val="0056729A"/>
    <w:rsid w:val="00571E1B"/>
    <w:rsid w:val="00584455"/>
    <w:rsid w:val="005C6DA1"/>
    <w:rsid w:val="00600F45"/>
    <w:rsid w:val="00643083"/>
    <w:rsid w:val="00677F0E"/>
    <w:rsid w:val="00691C1A"/>
    <w:rsid w:val="006959BF"/>
    <w:rsid w:val="006C34E2"/>
    <w:rsid w:val="006D79D8"/>
    <w:rsid w:val="006E7BE7"/>
    <w:rsid w:val="0070576F"/>
    <w:rsid w:val="0072198C"/>
    <w:rsid w:val="007333A6"/>
    <w:rsid w:val="007619E7"/>
    <w:rsid w:val="0083342A"/>
    <w:rsid w:val="008939A9"/>
    <w:rsid w:val="009073EB"/>
    <w:rsid w:val="009914DE"/>
    <w:rsid w:val="00A45576"/>
    <w:rsid w:val="00A76E36"/>
    <w:rsid w:val="00A7742F"/>
    <w:rsid w:val="00AE654D"/>
    <w:rsid w:val="00C01381"/>
    <w:rsid w:val="00C37FD9"/>
    <w:rsid w:val="00CC5179"/>
    <w:rsid w:val="00DA1B03"/>
    <w:rsid w:val="00DC0DC7"/>
    <w:rsid w:val="00E47B92"/>
    <w:rsid w:val="00E6595A"/>
    <w:rsid w:val="00E814A9"/>
    <w:rsid w:val="00E90FBF"/>
    <w:rsid w:val="00EB57BE"/>
    <w:rsid w:val="00EB7FE6"/>
    <w:rsid w:val="00ED02C9"/>
    <w:rsid w:val="00ED3356"/>
    <w:rsid w:val="00F236C6"/>
    <w:rsid w:val="00F36488"/>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2023-02-27T03:23:00Z</dcterms:created>
  <dcterms:modified xsi:type="dcterms:W3CDTF">2023-02-27T03:29:00Z</dcterms:modified>
</cp:coreProperties>
</file>