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4D3F4E" w:rsidRDefault="00154679" w:rsidP="00154679">
      <w:pPr>
        <w:jc w:val="center"/>
        <w:rPr>
          <w:rFonts w:ascii="Goudy Old Style" w:hAnsi="Goudy Old Style"/>
          <w:b/>
        </w:rPr>
      </w:pPr>
      <w:r w:rsidRPr="004D3F4E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4D3F4E" w:rsidRDefault="00154679" w:rsidP="00154679">
      <w:pPr>
        <w:rPr>
          <w:rFonts w:ascii="Goudy Old Style" w:hAnsi="Goudy Old Style"/>
        </w:rPr>
      </w:pPr>
    </w:p>
    <w:p w14:paraId="4E68D511" w14:textId="3E71146F" w:rsidR="00154679" w:rsidRPr="004D3F4E" w:rsidRDefault="00154679" w:rsidP="00154679">
      <w:pPr>
        <w:rPr>
          <w:rFonts w:ascii="Goudy Old Style" w:hAnsi="Goudy Old Style"/>
        </w:rPr>
      </w:pPr>
      <w:r w:rsidRPr="004D3F4E">
        <w:rPr>
          <w:rFonts w:ascii="Goudy Old Style" w:hAnsi="Goudy Old Style"/>
          <w:b/>
        </w:rPr>
        <w:t>Course Code:</w:t>
      </w:r>
      <w:r w:rsidRPr="004D3F4E">
        <w:rPr>
          <w:rFonts w:ascii="Goudy Old Style" w:hAnsi="Goudy Old Style"/>
        </w:rPr>
        <w:t xml:space="preserve"> </w:t>
      </w:r>
      <w:r w:rsidR="00A62477" w:rsidRPr="004D3F4E">
        <w:rPr>
          <w:rFonts w:ascii="Goudy Old Style" w:hAnsi="Goudy Old Style"/>
        </w:rPr>
        <w:t>6</w:t>
      </w:r>
      <w:r w:rsidR="004D3F4E" w:rsidRPr="004D3F4E">
        <w:rPr>
          <w:rFonts w:ascii="Goudy Old Style" w:hAnsi="Goudy Old Style"/>
        </w:rPr>
        <w:t>5</w:t>
      </w:r>
      <w:r w:rsidRPr="004D3F4E">
        <w:rPr>
          <w:rFonts w:ascii="Goudy Old Style" w:hAnsi="Goudy Old Style"/>
        </w:rPr>
        <w:fldChar w:fldCharType="begin"/>
      </w:r>
      <w:r w:rsidRPr="004D3F4E">
        <w:rPr>
          <w:rFonts w:ascii="Goudy Old Style" w:hAnsi="Goudy Old Style"/>
        </w:rPr>
        <w:instrText xml:space="preserve"> MERGEFIELD  Code  \* MERGEFORMAT </w:instrText>
      </w:r>
      <w:r w:rsidRPr="004D3F4E">
        <w:rPr>
          <w:rFonts w:ascii="Goudy Old Style" w:hAnsi="Goudy Old Style"/>
        </w:rPr>
        <w:fldChar w:fldCharType="end"/>
      </w:r>
    </w:p>
    <w:p w14:paraId="17686C80" w14:textId="02F34E01" w:rsidR="00154679" w:rsidRPr="004D3F4E" w:rsidRDefault="00154679" w:rsidP="00154679">
      <w:pPr>
        <w:rPr>
          <w:rFonts w:ascii="Goudy Old Style" w:hAnsi="Goudy Old Style"/>
          <w:bCs/>
        </w:rPr>
      </w:pPr>
      <w:r w:rsidRPr="004D3F4E">
        <w:rPr>
          <w:rFonts w:ascii="Goudy Old Style" w:hAnsi="Goudy Old Style"/>
          <w:b/>
        </w:rPr>
        <w:t xml:space="preserve">Course Title: </w:t>
      </w:r>
      <w:r w:rsidR="004D3F4E" w:rsidRPr="004D3F4E">
        <w:rPr>
          <w:rFonts w:ascii="Goudy Old Style" w:hAnsi="Goudy Old Style"/>
          <w:bCs/>
        </w:rPr>
        <w:t xml:space="preserve">Shame and Pain: Addressing the Sticking and Breaking Points That Inhibit the </w:t>
      </w:r>
      <w:r w:rsidR="004D3F4E" w:rsidRPr="004D3F4E">
        <w:rPr>
          <w:bCs/>
        </w:rPr>
        <w:t>‎</w:t>
      </w:r>
      <w:r w:rsidR="004D3F4E" w:rsidRPr="004D3F4E">
        <w:rPr>
          <w:rFonts w:ascii="Goudy Old Style" w:hAnsi="Goudy Old Style"/>
          <w:bCs/>
        </w:rPr>
        <w:t>Anti-</w:t>
      </w:r>
      <w:r w:rsidR="004D3F4E" w:rsidRPr="004D3F4E">
        <w:rPr>
          <w:bCs/>
        </w:rPr>
        <w:t>‎</w:t>
      </w:r>
      <w:r w:rsidR="004D3F4E" w:rsidRPr="004D3F4E">
        <w:rPr>
          <w:rFonts w:ascii="Goudy Old Style" w:hAnsi="Goudy Old Style"/>
          <w:bCs/>
        </w:rPr>
        <w:t>Racist Practice We Proclaim</w:t>
      </w:r>
    </w:p>
    <w:p w14:paraId="445E5E1A" w14:textId="77777777" w:rsidR="009504E1" w:rsidRPr="004D3F4E" w:rsidRDefault="009504E1" w:rsidP="00154679">
      <w:pPr>
        <w:rPr>
          <w:rFonts w:ascii="Goudy Old Style" w:hAnsi="Goudy Old Style"/>
        </w:rPr>
      </w:pPr>
    </w:p>
    <w:p w14:paraId="1C1733EF" w14:textId="193D97C4" w:rsidR="00154679" w:rsidRPr="004D3F4E" w:rsidRDefault="00154679" w:rsidP="00154679">
      <w:pPr>
        <w:rPr>
          <w:rFonts w:ascii="Goudy Old Style" w:hAnsi="Goudy Old Style"/>
          <w:bCs/>
        </w:rPr>
      </w:pPr>
      <w:r w:rsidRPr="004D3F4E">
        <w:rPr>
          <w:rFonts w:ascii="Goudy Old Style" w:hAnsi="Goudy Old Style"/>
          <w:b/>
        </w:rPr>
        <w:t xml:space="preserve">Course Times: </w:t>
      </w:r>
      <w:r w:rsidR="00093992" w:rsidRPr="004D3F4E">
        <w:rPr>
          <w:rFonts w:ascii="Goudy Old Style" w:hAnsi="Goudy Old Style"/>
          <w:bCs/>
        </w:rPr>
        <w:t>2</w:t>
      </w:r>
      <w:r w:rsidRPr="004D3F4E">
        <w:rPr>
          <w:rFonts w:ascii="Goudy Old Style" w:hAnsi="Goudy Old Style"/>
          <w:bCs/>
        </w:rPr>
        <w:t>:</w:t>
      </w:r>
      <w:r w:rsidR="00093992" w:rsidRPr="004D3F4E">
        <w:rPr>
          <w:rFonts w:ascii="Goudy Old Style" w:hAnsi="Goudy Old Style"/>
          <w:bCs/>
        </w:rPr>
        <w:t>0</w:t>
      </w:r>
      <w:r w:rsidRPr="004D3F4E">
        <w:rPr>
          <w:rFonts w:ascii="Goudy Old Style" w:hAnsi="Goudy Old Style"/>
          <w:bCs/>
        </w:rPr>
        <w:t xml:space="preserve">0 </w:t>
      </w:r>
      <w:r w:rsidR="00093992" w:rsidRPr="004D3F4E">
        <w:rPr>
          <w:rFonts w:ascii="Goudy Old Style" w:hAnsi="Goudy Old Style"/>
          <w:bCs/>
        </w:rPr>
        <w:t>P</w:t>
      </w:r>
      <w:r w:rsidR="005352CD" w:rsidRPr="004D3F4E">
        <w:rPr>
          <w:rFonts w:ascii="Goudy Old Style" w:hAnsi="Goudy Old Style"/>
          <w:bCs/>
        </w:rPr>
        <w:t xml:space="preserve">M </w:t>
      </w:r>
      <w:r w:rsidRPr="004D3F4E">
        <w:rPr>
          <w:rFonts w:ascii="Goudy Old Style" w:hAnsi="Goudy Old Style"/>
          <w:bCs/>
        </w:rPr>
        <w:t xml:space="preserve">- </w:t>
      </w:r>
      <w:r w:rsidR="00093992" w:rsidRPr="004D3F4E">
        <w:rPr>
          <w:rFonts w:ascii="Goudy Old Style" w:hAnsi="Goudy Old Style"/>
          <w:bCs/>
        </w:rPr>
        <w:t>4</w:t>
      </w:r>
      <w:r w:rsidRPr="004D3F4E">
        <w:rPr>
          <w:rFonts w:ascii="Goudy Old Style" w:hAnsi="Goudy Old Style"/>
          <w:bCs/>
        </w:rPr>
        <w:t>:</w:t>
      </w:r>
      <w:r w:rsidR="001351D8" w:rsidRPr="004D3F4E">
        <w:rPr>
          <w:rFonts w:ascii="Goudy Old Style" w:hAnsi="Goudy Old Style"/>
          <w:bCs/>
        </w:rPr>
        <w:t>3</w:t>
      </w:r>
      <w:r w:rsidRPr="004D3F4E">
        <w:rPr>
          <w:rFonts w:ascii="Goudy Old Style" w:hAnsi="Goudy Old Style"/>
          <w:bCs/>
        </w:rPr>
        <w:t xml:space="preserve">0 </w:t>
      </w:r>
      <w:r w:rsidR="00904DB5" w:rsidRPr="004D3F4E">
        <w:rPr>
          <w:rFonts w:ascii="Goudy Old Style" w:hAnsi="Goudy Old Style"/>
          <w:bCs/>
        </w:rPr>
        <w:t>P</w:t>
      </w:r>
      <w:r w:rsidRPr="004D3F4E">
        <w:rPr>
          <w:rFonts w:ascii="Goudy Old Style" w:hAnsi="Goudy Old Style"/>
          <w:bCs/>
        </w:rPr>
        <w:t xml:space="preserve">M </w:t>
      </w:r>
    </w:p>
    <w:p w14:paraId="41300B9A" w14:textId="67EEB3BC" w:rsidR="00154679" w:rsidRPr="004D3F4E" w:rsidRDefault="00154679" w:rsidP="00154679">
      <w:pPr>
        <w:rPr>
          <w:rFonts w:ascii="Goudy Old Style" w:hAnsi="Goudy Old Style"/>
        </w:rPr>
      </w:pPr>
      <w:r w:rsidRPr="004D3F4E">
        <w:rPr>
          <w:rFonts w:ascii="Goudy Old Style" w:hAnsi="Goudy Old Style"/>
          <w:b/>
        </w:rPr>
        <w:t xml:space="preserve">Course Dates: </w:t>
      </w:r>
      <w:r w:rsidR="00C47233" w:rsidRPr="004D3F4E">
        <w:rPr>
          <w:rFonts w:ascii="Goudy Old Style" w:hAnsi="Goudy Old Style"/>
        </w:rPr>
        <w:t>Saturday</w:t>
      </w:r>
      <w:r w:rsidRPr="004D3F4E">
        <w:rPr>
          <w:rFonts w:ascii="Goudy Old Style" w:hAnsi="Goudy Old Style"/>
        </w:rPr>
        <w:t xml:space="preserve">, March </w:t>
      </w:r>
      <w:r w:rsidR="00C47233" w:rsidRPr="004D3F4E">
        <w:rPr>
          <w:rFonts w:ascii="Goudy Old Style" w:hAnsi="Goudy Old Style"/>
        </w:rPr>
        <w:t>11</w:t>
      </w:r>
    </w:p>
    <w:p w14:paraId="6B39DA20" w14:textId="77777777" w:rsidR="00154679" w:rsidRPr="004D3F4E" w:rsidRDefault="00154679" w:rsidP="00154679">
      <w:pPr>
        <w:rPr>
          <w:rFonts w:ascii="Goudy Old Style" w:hAnsi="Goudy Old Style"/>
        </w:rPr>
      </w:pPr>
    </w:p>
    <w:p w14:paraId="57F687BE" w14:textId="32A477F6" w:rsidR="00EA1882" w:rsidRPr="004D3F4E" w:rsidRDefault="00154679" w:rsidP="00EA1882">
      <w:pPr>
        <w:rPr>
          <w:rFonts w:ascii="Goudy Old Style" w:hAnsi="Goudy Old Style"/>
          <w:bCs/>
        </w:rPr>
      </w:pPr>
      <w:r w:rsidRPr="004D3F4E">
        <w:rPr>
          <w:rFonts w:ascii="Goudy Old Style" w:hAnsi="Goudy Old Style"/>
          <w:b/>
        </w:rPr>
        <w:t xml:space="preserve">Instructors: </w:t>
      </w:r>
      <w:r w:rsidRPr="004D3F4E">
        <w:rPr>
          <w:rFonts w:ascii="Goudy Old Style" w:hAnsi="Goudy Old Style"/>
          <w:b/>
        </w:rPr>
        <w:tab/>
      </w:r>
      <w:r w:rsidRPr="004D3F4E">
        <w:rPr>
          <w:rFonts w:ascii="Goudy Old Style" w:hAnsi="Goudy Old Style"/>
          <w:b/>
        </w:rPr>
        <w:tab/>
      </w:r>
      <w:r w:rsidR="004D3F4E" w:rsidRPr="004D3F4E">
        <w:rPr>
          <w:rFonts w:ascii="Goudy Old Style" w:hAnsi="Goudy Old Style"/>
          <w:bCs/>
        </w:rPr>
        <w:t xml:space="preserve">Craig </w:t>
      </w:r>
      <w:proofErr w:type="spellStart"/>
      <w:r w:rsidR="004D3F4E" w:rsidRPr="004D3F4E">
        <w:rPr>
          <w:rFonts w:ascii="Goudy Old Style" w:hAnsi="Goudy Old Style"/>
          <w:bCs/>
        </w:rPr>
        <w:t>Haen</w:t>
      </w:r>
      <w:proofErr w:type="spellEnd"/>
    </w:p>
    <w:p w14:paraId="6A9AE77D" w14:textId="014EF4AC" w:rsidR="004D3F4E" w:rsidRPr="004D3F4E" w:rsidRDefault="004D3F4E" w:rsidP="004D3F4E">
      <w:pPr>
        <w:ind w:left="1440" w:firstLine="720"/>
        <w:rPr>
          <w:rFonts w:ascii="Goudy Old Style" w:hAnsi="Goudy Old Style"/>
          <w:bCs/>
        </w:rPr>
      </w:pPr>
      <w:r w:rsidRPr="004D3F4E">
        <w:rPr>
          <w:rFonts w:ascii="Goudy Old Style" w:hAnsi="Goudy Old Style"/>
          <w:bCs/>
        </w:rPr>
        <w:t>Aziza Belcher Platt</w:t>
      </w:r>
    </w:p>
    <w:p w14:paraId="1E99DCFE" w14:textId="0455504F" w:rsidR="00154679" w:rsidRPr="004D3F4E" w:rsidRDefault="00154679" w:rsidP="00EA1882">
      <w:pPr>
        <w:rPr>
          <w:rFonts w:ascii="Goudy Old Style" w:hAnsi="Goudy Old Style"/>
          <w:bCs/>
        </w:rPr>
      </w:pPr>
      <w:r w:rsidRPr="004D3F4E">
        <w:rPr>
          <w:rFonts w:ascii="Goudy Old Style" w:hAnsi="Goudy Old Style"/>
          <w:bCs/>
        </w:rPr>
        <w:tab/>
      </w:r>
      <w:r w:rsidRPr="004D3F4E">
        <w:rPr>
          <w:rFonts w:ascii="Goudy Old Style" w:hAnsi="Goudy Old Style"/>
          <w:bCs/>
        </w:rPr>
        <w:tab/>
      </w:r>
      <w:r w:rsidRPr="004D3F4E">
        <w:rPr>
          <w:rFonts w:ascii="Goudy Old Style" w:hAnsi="Goudy Old Style"/>
          <w:bCs/>
        </w:rPr>
        <w:tab/>
      </w:r>
    </w:p>
    <w:p w14:paraId="72732DA2" w14:textId="244DFF72" w:rsidR="009504E1" w:rsidRPr="004D3F4E" w:rsidRDefault="00154679" w:rsidP="004D3F4E">
      <w:pPr>
        <w:rPr>
          <w:rFonts w:ascii="Goudy Old Style" w:hAnsi="Goudy Old Style"/>
          <w:bCs/>
        </w:rPr>
      </w:pPr>
      <w:r w:rsidRPr="004D3F4E">
        <w:rPr>
          <w:rFonts w:ascii="Goudy Old Style" w:hAnsi="Goudy Old Style"/>
          <w:b/>
        </w:rPr>
        <w:t>Course Description:</w:t>
      </w:r>
      <w:r w:rsidR="00271026" w:rsidRPr="004D3F4E">
        <w:rPr>
          <w:rFonts w:ascii="Goudy Old Style" w:hAnsi="Goudy Old Style"/>
          <w:b/>
        </w:rPr>
        <w:t xml:space="preserve"> </w:t>
      </w:r>
      <w:r w:rsidR="004D3F4E" w:rsidRPr="004D3F4E">
        <w:rPr>
          <w:rFonts w:ascii="Goudy Old Style" w:hAnsi="Goudy Old Style"/>
          <w:bCs/>
        </w:rPr>
        <w:t>This workshop is for providers with a foundational understanding of white supremacy, racism, and appreciation for lifelong anti-racism practice. In anti-racism practice, we all have sticking points, points where we and/or our practice struggle to overcome internal and external resistance and/or breaking points, points where we and/or our practice collapse under stress. In this experiential workshop, attendees will collectively identify and dissect internal and external sticking/breaking points and practice resolution strategies to advance and deepen their anti-racist clinical practice.</w:t>
      </w:r>
    </w:p>
    <w:p w14:paraId="470196E9" w14:textId="77777777" w:rsidR="00F47175" w:rsidRPr="004D3F4E" w:rsidRDefault="00F47175" w:rsidP="00F47175">
      <w:pPr>
        <w:rPr>
          <w:rFonts w:ascii="Goudy Old Style" w:hAnsi="Goudy Old Style"/>
        </w:rPr>
      </w:pPr>
    </w:p>
    <w:p w14:paraId="3D530396" w14:textId="77777777" w:rsidR="00154679" w:rsidRPr="004D3F4E" w:rsidRDefault="00154679" w:rsidP="00154679">
      <w:pPr>
        <w:rPr>
          <w:rFonts w:ascii="Goudy Old Style" w:hAnsi="Goudy Old Style"/>
          <w:b/>
        </w:rPr>
      </w:pPr>
      <w:r w:rsidRPr="004D3F4E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4D3F4E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4D3F4E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4D3F4E">
        <w:rPr>
          <w:color w:val="000000"/>
          <w:shd w:val="clear" w:color="auto" w:fill="FFFFFF"/>
        </w:rPr>
        <w:t>‎</w:t>
      </w:r>
    </w:p>
    <w:p w14:paraId="66757C36" w14:textId="6377E68A" w:rsidR="004D3F4E" w:rsidRPr="004D3F4E" w:rsidRDefault="00154679" w:rsidP="004D3F4E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4D3F4E">
        <w:rPr>
          <w:color w:val="000000"/>
          <w:shd w:val="clear" w:color="auto" w:fill="FFFFFF"/>
        </w:rPr>
        <w:t>‎‎‎</w:t>
      </w:r>
      <w:r w:rsidR="006C34E2" w:rsidRPr="004D3F4E">
        <w:rPr>
          <w:color w:val="000000"/>
          <w:shd w:val="clear" w:color="auto" w:fill="FFFFFF"/>
        </w:rPr>
        <w:t>‎</w:t>
      </w:r>
      <w:r w:rsidR="00F36488" w:rsidRPr="004D3F4E">
        <w:rPr>
          <w:color w:val="000000"/>
          <w:shd w:val="clear" w:color="auto" w:fill="FFFFFF"/>
        </w:rPr>
        <w:t>‎</w:t>
      </w:r>
      <w:r w:rsidR="007146FE" w:rsidRPr="004D3F4E">
        <w:rPr>
          <w:color w:val="000000"/>
          <w:shd w:val="clear" w:color="auto" w:fill="FFFFFF"/>
        </w:rPr>
        <w:t>‎</w:t>
      </w:r>
      <w:r w:rsidR="004A0CFF" w:rsidRPr="004D3F4E">
        <w:rPr>
          <w:color w:val="000000"/>
          <w:shd w:val="clear" w:color="auto" w:fill="FFFFFF"/>
        </w:rPr>
        <w:t>‎</w:t>
      </w:r>
      <w:r w:rsidR="00274080" w:rsidRPr="004D3F4E">
        <w:rPr>
          <w:color w:val="000000"/>
          <w:shd w:val="clear" w:color="auto" w:fill="FFFFFF"/>
        </w:rPr>
        <w:t>‎</w:t>
      </w:r>
      <w:r w:rsidR="004D3F4E" w:rsidRPr="004D3F4E">
        <w:rPr>
          <w:color w:val="000000"/>
          <w:shd w:val="clear" w:color="auto" w:fill="FFFFFF"/>
        </w:rPr>
        <w:t>‎</w:t>
      </w:r>
      <w:r w:rsidR="004D3F4E" w:rsidRPr="004D3F4E">
        <w:rPr>
          <w:rFonts w:ascii="Goudy Old Style" w:hAnsi="Goudy Old Style"/>
          <w:color w:val="000000"/>
          <w:shd w:val="clear" w:color="auto" w:fill="FFFFFF"/>
        </w:rPr>
        <w:t xml:space="preserve">Identify sticking and breaking points in anti-racist clinical practice and analyze underlying </w:t>
      </w:r>
      <w:r w:rsidR="004D3F4E" w:rsidRPr="004D3F4E">
        <w:rPr>
          <w:color w:val="000000"/>
          <w:shd w:val="clear" w:color="auto" w:fill="FFFFFF"/>
        </w:rPr>
        <w:t>‎</w:t>
      </w:r>
      <w:r w:rsidR="004D3F4E" w:rsidRPr="004D3F4E">
        <w:rPr>
          <w:rFonts w:ascii="Goudy Old Style" w:hAnsi="Goudy Old Style"/>
          <w:color w:val="000000"/>
          <w:shd w:val="clear" w:color="auto" w:fill="FFFFFF"/>
        </w:rPr>
        <w:t>resistance(s).</w:t>
      </w:r>
      <w:r w:rsidR="004D3F4E" w:rsidRPr="004D3F4E">
        <w:rPr>
          <w:color w:val="000000"/>
          <w:shd w:val="clear" w:color="auto" w:fill="FFFFFF"/>
        </w:rPr>
        <w:t>‎</w:t>
      </w:r>
    </w:p>
    <w:p w14:paraId="442B1D00" w14:textId="38C4AE7C" w:rsidR="004D3F4E" w:rsidRPr="004D3F4E" w:rsidRDefault="004D3F4E" w:rsidP="004D3F4E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>Practice navigating, minimizing, and/or resolving sticking/breaking points.</w:t>
      </w:r>
      <w:r w:rsidRPr="004D3F4E">
        <w:rPr>
          <w:color w:val="000000"/>
          <w:shd w:val="clear" w:color="auto" w:fill="FFFFFF"/>
        </w:rPr>
        <w:t>‎</w:t>
      </w:r>
    </w:p>
    <w:p w14:paraId="1014F063" w14:textId="0AD333D3" w:rsidR="00EA1882" w:rsidRPr="004D3F4E" w:rsidRDefault="004D3F4E" w:rsidP="004D3F4E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 xml:space="preserve">Develop strategies for recognizing additional and future sticking/breaking points and apply </w:t>
      </w: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>demonstrated skills toward surmounting them.</w:t>
      </w:r>
      <w:r w:rsidRPr="004D3F4E">
        <w:rPr>
          <w:color w:val="000000"/>
          <w:shd w:val="clear" w:color="auto" w:fill="FFFFFF"/>
        </w:rPr>
        <w:t>‎</w:t>
      </w:r>
    </w:p>
    <w:p w14:paraId="5B097C90" w14:textId="77777777" w:rsidR="004D3F4E" w:rsidRPr="004D3F4E" w:rsidRDefault="004D3F4E" w:rsidP="004D3F4E">
      <w:pPr>
        <w:pStyle w:val="ListParagraph"/>
        <w:rPr>
          <w:rFonts w:ascii="Goudy Old Style" w:hAnsi="Goudy Old Style"/>
          <w:b/>
        </w:rPr>
      </w:pPr>
    </w:p>
    <w:p w14:paraId="5A26EE6E" w14:textId="16B24D19" w:rsidR="00911103" w:rsidRPr="004D3F4E" w:rsidRDefault="00154679" w:rsidP="00B72019">
      <w:pPr>
        <w:rPr>
          <w:rFonts w:ascii="Goudy Old Style" w:hAnsi="Goudy Old Style"/>
          <w:b/>
        </w:rPr>
      </w:pPr>
      <w:r w:rsidRPr="004D3F4E">
        <w:rPr>
          <w:rFonts w:ascii="Goudy Old Style" w:hAnsi="Goudy Old Style"/>
          <w:b/>
        </w:rPr>
        <w:t>Significant Articles:</w:t>
      </w:r>
    </w:p>
    <w:p w14:paraId="6E82DC79" w14:textId="77777777" w:rsidR="004D3F4E" w:rsidRPr="004D3F4E" w:rsidRDefault="004D3F4E" w:rsidP="004D3F4E">
      <w:pPr>
        <w:pStyle w:val="ListParagraph"/>
        <w:numPr>
          <w:ilvl w:val="0"/>
          <w:numId w:val="11"/>
        </w:numPr>
        <w:rPr>
          <w:rFonts w:ascii="Goudy Old Style" w:hAnsi="Goudy Old Style"/>
          <w:color w:val="000000"/>
          <w:shd w:val="clear" w:color="auto" w:fill="FFFFFF"/>
        </w:rPr>
      </w:pPr>
      <w:r w:rsidRPr="004D3F4E">
        <w:rPr>
          <w:rFonts w:ascii="Goudy Old Style" w:hAnsi="Goudy Old Style"/>
          <w:color w:val="000000"/>
          <w:shd w:val="clear" w:color="auto" w:fill="FFFFFF"/>
        </w:rPr>
        <w:t>Akbar, M. (2020). Beyond ally: The pursuit of racial justice. Publish Your Own Press.</w:t>
      </w:r>
      <w:r w:rsidRPr="004D3F4E">
        <w:rPr>
          <w:color w:val="000000"/>
          <w:shd w:val="clear" w:color="auto" w:fill="FFFFFF"/>
        </w:rPr>
        <w:t>‎</w:t>
      </w:r>
    </w:p>
    <w:p w14:paraId="2D510FCF" w14:textId="77777777" w:rsidR="004D3F4E" w:rsidRPr="004D3F4E" w:rsidRDefault="004D3F4E" w:rsidP="004D3F4E">
      <w:pPr>
        <w:pStyle w:val="ListParagraph"/>
        <w:numPr>
          <w:ilvl w:val="0"/>
          <w:numId w:val="11"/>
        </w:numPr>
        <w:rPr>
          <w:rFonts w:ascii="Goudy Old Style" w:hAnsi="Goudy Old Style"/>
          <w:color w:val="000000"/>
          <w:shd w:val="clear" w:color="auto" w:fill="FFFFFF"/>
        </w:rPr>
      </w:pPr>
      <w:r w:rsidRPr="004D3F4E">
        <w:rPr>
          <w:rFonts w:ascii="Goudy Old Style" w:hAnsi="Goudy Old Style"/>
          <w:color w:val="000000"/>
          <w:shd w:val="clear" w:color="auto" w:fill="FFFFFF"/>
        </w:rPr>
        <w:t>Chang-</w:t>
      </w:r>
      <w:proofErr w:type="spellStart"/>
      <w:r w:rsidRPr="004D3F4E">
        <w:rPr>
          <w:rFonts w:ascii="Goudy Old Style" w:hAnsi="Goudy Old Style"/>
          <w:color w:val="000000"/>
          <w:shd w:val="clear" w:color="auto" w:fill="FFFFFF"/>
        </w:rPr>
        <w:t>Caffaro</w:t>
      </w:r>
      <w:proofErr w:type="spellEnd"/>
      <w:r w:rsidRPr="004D3F4E">
        <w:rPr>
          <w:rFonts w:ascii="Goudy Old Style" w:hAnsi="Goudy Old Style"/>
          <w:color w:val="000000"/>
          <w:shd w:val="clear" w:color="auto" w:fill="FFFFFF"/>
        </w:rPr>
        <w:t xml:space="preserve">, S., &amp; </w:t>
      </w:r>
      <w:proofErr w:type="spellStart"/>
      <w:r w:rsidRPr="004D3F4E">
        <w:rPr>
          <w:rFonts w:ascii="Goudy Old Style" w:hAnsi="Goudy Old Style"/>
          <w:color w:val="000000"/>
          <w:shd w:val="clear" w:color="auto" w:fill="FFFFFF"/>
        </w:rPr>
        <w:t>Caffaro</w:t>
      </w:r>
      <w:proofErr w:type="spellEnd"/>
      <w:r w:rsidRPr="004D3F4E">
        <w:rPr>
          <w:rFonts w:ascii="Goudy Old Style" w:hAnsi="Goudy Old Style"/>
          <w:color w:val="000000"/>
          <w:shd w:val="clear" w:color="auto" w:fill="FFFFFF"/>
        </w:rPr>
        <w:t xml:space="preserve">, J. (2018). Differences that make a difference: Diversity and the process </w:t>
      </w: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>group leader. International Journal of Group Psychotherapy, 68(4), 483-497.</w:t>
      </w:r>
      <w:r w:rsidRPr="004D3F4E">
        <w:rPr>
          <w:color w:val="000000"/>
          <w:shd w:val="clear" w:color="auto" w:fill="FFFFFF"/>
        </w:rPr>
        <w:t>‎</w:t>
      </w:r>
    </w:p>
    <w:p w14:paraId="19D849CC" w14:textId="77777777" w:rsidR="004D3F4E" w:rsidRPr="004D3F4E" w:rsidRDefault="004D3F4E" w:rsidP="004D3F4E">
      <w:pPr>
        <w:pStyle w:val="ListParagraph"/>
        <w:numPr>
          <w:ilvl w:val="0"/>
          <w:numId w:val="11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4D3F4E">
        <w:rPr>
          <w:rFonts w:ascii="Goudy Old Style" w:hAnsi="Goudy Old Style"/>
          <w:color w:val="000000"/>
          <w:shd w:val="clear" w:color="auto" w:fill="FFFFFF"/>
        </w:rPr>
        <w:t>Haen</w:t>
      </w:r>
      <w:proofErr w:type="spellEnd"/>
      <w:r w:rsidRPr="004D3F4E">
        <w:rPr>
          <w:rFonts w:ascii="Goudy Old Style" w:hAnsi="Goudy Old Style"/>
          <w:color w:val="000000"/>
          <w:shd w:val="clear" w:color="auto" w:fill="FFFFFF"/>
        </w:rPr>
        <w:t xml:space="preserve">, C., &amp; Thomas, N. K. (2018). Holding history: Undoing racial unconsciousness in groups. The </w:t>
      </w: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 xml:space="preserve">International Journal of Group Psychotherapy, 68(4), 498-520. </w:t>
      </w: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>https://doi.org/10.1080/00207284.2018.1475238</w:t>
      </w:r>
      <w:r w:rsidRPr="004D3F4E">
        <w:rPr>
          <w:color w:val="000000"/>
          <w:shd w:val="clear" w:color="auto" w:fill="FFFFFF"/>
        </w:rPr>
        <w:t>‎</w:t>
      </w:r>
    </w:p>
    <w:p w14:paraId="1993E988" w14:textId="77777777" w:rsidR="004D3F4E" w:rsidRPr="004D3F4E" w:rsidRDefault="004D3F4E" w:rsidP="004D3F4E">
      <w:pPr>
        <w:pStyle w:val="ListParagraph"/>
        <w:numPr>
          <w:ilvl w:val="0"/>
          <w:numId w:val="11"/>
        </w:numPr>
        <w:rPr>
          <w:rFonts w:ascii="Goudy Old Style" w:hAnsi="Goudy Old Style"/>
          <w:color w:val="000000"/>
          <w:shd w:val="clear" w:color="auto" w:fill="FFFFFF"/>
        </w:rPr>
      </w:pPr>
      <w:r w:rsidRPr="004D3F4E">
        <w:rPr>
          <w:rFonts w:ascii="Goudy Old Style" w:hAnsi="Goudy Old Style"/>
          <w:color w:val="000000"/>
          <w:shd w:val="clear" w:color="auto" w:fill="FFFFFF"/>
        </w:rPr>
        <w:t xml:space="preserve">Miles, J. R., Anders, C., Kivlighan III, D. M., &amp; Belcher Platt, A. A. (2021). Cultural ruptures: Addressing </w:t>
      </w: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>microaggressions in group therapy. Group Dynamics: Theory, Research, and Practice, 25(1), 74-88.</w:t>
      </w:r>
      <w:r w:rsidRPr="004D3F4E">
        <w:rPr>
          <w:color w:val="000000"/>
          <w:shd w:val="clear" w:color="auto" w:fill="FFFFFF"/>
        </w:rPr>
        <w:t>‎</w:t>
      </w:r>
    </w:p>
    <w:p w14:paraId="5D48F06E" w14:textId="02F22F7F" w:rsidR="00274080" w:rsidRPr="004D3F4E" w:rsidRDefault="004D3F4E" w:rsidP="004D3F4E">
      <w:pPr>
        <w:pStyle w:val="ListParagraph"/>
        <w:numPr>
          <w:ilvl w:val="0"/>
          <w:numId w:val="11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4D3F4E">
        <w:rPr>
          <w:rFonts w:ascii="Goudy Old Style" w:hAnsi="Goudy Old Style"/>
          <w:color w:val="000000"/>
          <w:shd w:val="clear" w:color="auto" w:fill="FFFFFF"/>
        </w:rPr>
        <w:t>Okech</w:t>
      </w:r>
      <w:proofErr w:type="spellEnd"/>
      <w:r w:rsidRPr="004D3F4E">
        <w:rPr>
          <w:rFonts w:ascii="Goudy Old Style" w:hAnsi="Goudy Old Style"/>
          <w:color w:val="000000"/>
          <w:shd w:val="clear" w:color="auto" w:fill="FFFFFF"/>
        </w:rPr>
        <w:t xml:space="preserve">, J. E. A., </w:t>
      </w:r>
      <w:proofErr w:type="spellStart"/>
      <w:r w:rsidRPr="004D3F4E">
        <w:rPr>
          <w:rFonts w:ascii="Goudy Old Style" w:hAnsi="Goudy Old Style"/>
          <w:color w:val="000000"/>
          <w:shd w:val="clear" w:color="auto" w:fill="FFFFFF"/>
        </w:rPr>
        <w:t>Pimpleton</w:t>
      </w:r>
      <w:proofErr w:type="spellEnd"/>
      <w:r w:rsidRPr="004D3F4E">
        <w:rPr>
          <w:rFonts w:ascii="Goudy Old Style" w:hAnsi="Goudy Old Style"/>
          <w:color w:val="000000"/>
          <w:shd w:val="clear" w:color="auto" w:fill="FFFFFF"/>
        </w:rPr>
        <w:t xml:space="preserve">-Gray, A. M., </w:t>
      </w:r>
      <w:proofErr w:type="spellStart"/>
      <w:r w:rsidRPr="004D3F4E">
        <w:rPr>
          <w:rFonts w:ascii="Goudy Old Style" w:hAnsi="Goudy Old Style"/>
          <w:color w:val="000000"/>
          <w:shd w:val="clear" w:color="auto" w:fill="FFFFFF"/>
        </w:rPr>
        <w:t>Vannatta</w:t>
      </w:r>
      <w:proofErr w:type="spellEnd"/>
      <w:r w:rsidRPr="004D3F4E">
        <w:rPr>
          <w:rFonts w:ascii="Goudy Old Style" w:hAnsi="Goudy Old Style"/>
          <w:color w:val="000000"/>
          <w:shd w:val="clear" w:color="auto" w:fill="FFFFFF"/>
        </w:rPr>
        <w:t xml:space="preserve">, R., &amp; </w:t>
      </w:r>
      <w:proofErr w:type="spellStart"/>
      <w:r w:rsidRPr="004D3F4E">
        <w:rPr>
          <w:rFonts w:ascii="Goudy Old Style" w:hAnsi="Goudy Old Style"/>
          <w:color w:val="000000"/>
          <w:shd w:val="clear" w:color="auto" w:fill="FFFFFF"/>
        </w:rPr>
        <w:t>Champe</w:t>
      </w:r>
      <w:proofErr w:type="spellEnd"/>
      <w:r w:rsidRPr="004D3F4E">
        <w:rPr>
          <w:rFonts w:ascii="Goudy Old Style" w:hAnsi="Goudy Old Style"/>
          <w:color w:val="000000"/>
          <w:shd w:val="clear" w:color="auto" w:fill="FFFFFF"/>
        </w:rPr>
        <w:t xml:space="preserve">, J. (2016). Intercultural conflict in </w:t>
      </w: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 xml:space="preserve">groups. Journal for Specialists in Group Work, 41(4), 350–369. </w:t>
      </w:r>
      <w:r w:rsidRPr="004D3F4E">
        <w:rPr>
          <w:color w:val="000000"/>
          <w:shd w:val="clear" w:color="auto" w:fill="FFFFFF"/>
        </w:rPr>
        <w:t>‎</w:t>
      </w:r>
      <w:r w:rsidRPr="004D3F4E">
        <w:rPr>
          <w:rFonts w:ascii="Goudy Old Style" w:hAnsi="Goudy Old Style"/>
          <w:color w:val="000000"/>
          <w:shd w:val="clear" w:color="auto" w:fill="FFFFFF"/>
        </w:rPr>
        <w:t>https://doi.org/10.1080/01933922.2016.1232769</w:t>
      </w:r>
      <w:r w:rsidRPr="004D3F4E">
        <w:rPr>
          <w:color w:val="000000"/>
          <w:shd w:val="clear" w:color="auto" w:fill="FFFFFF"/>
        </w:rPr>
        <w:t>‎</w:t>
      </w:r>
    </w:p>
    <w:p w14:paraId="2014C446" w14:textId="77777777" w:rsidR="004D3F4E" w:rsidRPr="004D3F4E" w:rsidRDefault="004D3F4E" w:rsidP="004D3F4E">
      <w:pPr>
        <w:rPr>
          <w:rFonts w:ascii="Goudy Old Style" w:hAnsi="Goudy Old Style"/>
          <w:b/>
        </w:rPr>
      </w:pPr>
    </w:p>
    <w:p w14:paraId="14C8E398" w14:textId="77777777" w:rsidR="00911103" w:rsidRPr="004D3F4E" w:rsidRDefault="00154679" w:rsidP="00911103">
      <w:pPr>
        <w:rPr>
          <w:rFonts w:ascii="Goudy Old Style" w:hAnsi="Goudy Old Style"/>
          <w:b/>
        </w:rPr>
      </w:pPr>
      <w:r w:rsidRPr="004D3F4E">
        <w:rPr>
          <w:rFonts w:ascii="Goudy Old Style" w:hAnsi="Goudy Old Style"/>
          <w:b/>
        </w:rPr>
        <w:t>Agenda</w:t>
      </w:r>
    </w:p>
    <w:p w14:paraId="7AA2C27B" w14:textId="510BDA33" w:rsidR="004D3F4E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eastAsia="Arial" w:hAnsi="Goudy Old Style"/>
          <w:color w:val="000000"/>
        </w:rPr>
      </w:pPr>
      <w:r w:rsidRPr="004D3F4E">
        <w:rPr>
          <w:rFonts w:ascii="Goudy Old Style" w:eastAsia="Arial" w:hAnsi="Goudy Old Style"/>
          <w:color w:val="000000"/>
        </w:rPr>
        <w:t xml:space="preserve">Introduction of Presenters (5 min) </w:t>
      </w:r>
    </w:p>
    <w:p w14:paraId="269EE65E" w14:textId="2299FF84" w:rsidR="004D3F4E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eastAsia="Arial" w:hAnsi="Goudy Old Style"/>
          <w:color w:val="000000"/>
        </w:rPr>
        <w:lastRenderedPageBreak/>
        <w:t xml:space="preserve">Sociometry Warm Up: Establishing emotional state, learning aspirations, and knowledge of sticking and breaking points (10 min; Objective 2; </w:t>
      </w:r>
      <w:proofErr w:type="spellStart"/>
      <w:r w:rsidRPr="004D3F4E">
        <w:rPr>
          <w:rFonts w:ascii="Goudy Old Style" w:eastAsia="Arial" w:hAnsi="Goudy Old Style"/>
          <w:color w:val="000000"/>
        </w:rPr>
        <w:t>Haen</w:t>
      </w:r>
      <w:proofErr w:type="spellEnd"/>
      <w:r w:rsidRPr="004D3F4E">
        <w:rPr>
          <w:rFonts w:ascii="Goudy Old Style" w:eastAsia="Arial" w:hAnsi="Goudy Old Style"/>
          <w:color w:val="000000"/>
        </w:rPr>
        <w:t xml:space="preserve">, experiential activity) </w:t>
      </w:r>
    </w:p>
    <w:p w14:paraId="2B6B999B" w14:textId="787C2805" w:rsidR="004D3F4E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eastAsia="Arial" w:hAnsi="Goudy Old Style"/>
          <w:color w:val="000000"/>
        </w:rPr>
        <w:t xml:space="preserve">Define sticking and breaking points in anti-racist clinical practice via literature and examples (15 min; Objective 1; Belcher Platt &amp; </w:t>
      </w:r>
      <w:proofErr w:type="spellStart"/>
      <w:r w:rsidRPr="004D3F4E">
        <w:rPr>
          <w:rFonts w:ascii="Goudy Old Style" w:eastAsia="Arial" w:hAnsi="Goudy Old Style"/>
          <w:color w:val="000000"/>
        </w:rPr>
        <w:t>Haen</w:t>
      </w:r>
      <w:proofErr w:type="spellEnd"/>
      <w:r w:rsidRPr="004D3F4E">
        <w:rPr>
          <w:rFonts w:ascii="Goudy Old Style" w:eastAsia="Arial" w:hAnsi="Goudy Old Style"/>
          <w:color w:val="000000"/>
        </w:rPr>
        <w:t xml:space="preserve">, lecture) </w:t>
      </w:r>
    </w:p>
    <w:p w14:paraId="4E24BC81" w14:textId="77777777" w:rsidR="004D3F4E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eastAsia="Arial" w:hAnsi="Goudy Old Style"/>
          <w:color w:val="000000"/>
        </w:rPr>
        <w:t xml:space="preserve">Explore and process sticking points collectively through presenter and attendee disclosures in large group (40 min; Objective 1; Belcher Platt &amp; </w:t>
      </w:r>
      <w:proofErr w:type="spellStart"/>
      <w:r w:rsidRPr="004D3F4E">
        <w:rPr>
          <w:rFonts w:ascii="Goudy Old Style" w:eastAsia="Arial" w:hAnsi="Goudy Old Style"/>
          <w:color w:val="000000"/>
        </w:rPr>
        <w:t>Haen</w:t>
      </w:r>
      <w:proofErr w:type="spellEnd"/>
      <w:r w:rsidRPr="004D3F4E">
        <w:rPr>
          <w:rFonts w:ascii="Goudy Old Style" w:eastAsia="Arial" w:hAnsi="Goudy Old Style"/>
          <w:color w:val="000000"/>
        </w:rPr>
        <w:t xml:space="preserve">, discussion) </w:t>
      </w:r>
    </w:p>
    <w:p w14:paraId="5CB20520" w14:textId="77777777" w:rsidR="004D3F4E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eastAsia="Arial" w:hAnsi="Goudy Old Style"/>
          <w:color w:val="000000"/>
        </w:rPr>
        <w:t xml:space="preserve">Explore and process breaking points in small </w:t>
      </w:r>
      <w:proofErr w:type="gramStart"/>
      <w:r w:rsidRPr="004D3F4E">
        <w:rPr>
          <w:rFonts w:ascii="Goudy Old Style" w:eastAsia="Arial" w:hAnsi="Goudy Old Style"/>
          <w:color w:val="000000"/>
        </w:rPr>
        <w:t>race-based</w:t>
      </w:r>
      <w:proofErr w:type="gramEnd"/>
      <w:r w:rsidRPr="004D3F4E">
        <w:rPr>
          <w:rFonts w:ascii="Goudy Old Style" w:eastAsia="Arial" w:hAnsi="Goudy Old Style"/>
          <w:color w:val="000000"/>
        </w:rPr>
        <w:t xml:space="preserve"> (BIPOC &amp; White) affinity groups (40 min; Objectives 1 &amp; 2; Belcher Platt &amp; </w:t>
      </w:r>
      <w:proofErr w:type="spellStart"/>
      <w:r w:rsidRPr="004D3F4E">
        <w:rPr>
          <w:rFonts w:ascii="Goudy Old Style" w:eastAsia="Arial" w:hAnsi="Goudy Old Style"/>
          <w:color w:val="000000"/>
        </w:rPr>
        <w:t>Haen</w:t>
      </w:r>
      <w:proofErr w:type="spellEnd"/>
      <w:r w:rsidRPr="004D3F4E">
        <w:rPr>
          <w:rFonts w:ascii="Goudy Old Style" w:eastAsia="Arial" w:hAnsi="Goudy Old Style"/>
          <w:color w:val="000000"/>
        </w:rPr>
        <w:t xml:space="preserve">, small group activity) </w:t>
      </w:r>
    </w:p>
    <w:p w14:paraId="685BBAEF" w14:textId="77777777" w:rsidR="004D3F4E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eastAsia="Arial" w:hAnsi="Goudy Old Style"/>
          <w:color w:val="000000"/>
        </w:rPr>
        <w:t xml:space="preserve">Return large group to distill learnings from affinity groups and integrate content (15 min; Objectives 2 &amp; 3; Belcher Platt &amp; </w:t>
      </w:r>
      <w:proofErr w:type="spellStart"/>
      <w:r w:rsidRPr="004D3F4E">
        <w:rPr>
          <w:rFonts w:ascii="Goudy Old Style" w:eastAsia="Arial" w:hAnsi="Goudy Old Style"/>
          <w:color w:val="000000"/>
        </w:rPr>
        <w:t>Haen</w:t>
      </w:r>
      <w:proofErr w:type="spellEnd"/>
      <w:r w:rsidRPr="004D3F4E">
        <w:rPr>
          <w:rFonts w:ascii="Goudy Old Style" w:eastAsia="Arial" w:hAnsi="Goudy Old Style"/>
          <w:color w:val="000000"/>
        </w:rPr>
        <w:t xml:space="preserve">, discussion) </w:t>
      </w:r>
    </w:p>
    <w:p w14:paraId="3C802190" w14:textId="77777777" w:rsidR="004D3F4E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eastAsia="Arial" w:hAnsi="Goudy Old Style"/>
          <w:color w:val="000000"/>
        </w:rPr>
        <w:t xml:space="preserve">Review strategies for detecting, </w:t>
      </w:r>
      <w:proofErr w:type="spellStart"/>
      <w:r w:rsidRPr="004D3F4E">
        <w:rPr>
          <w:rFonts w:ascii="Goudy Old Style" w:eastAsia="Arial" w:hAnsi="Goudy Old Style"/>
          <w:color w:val="000000"/>
        </w:rPr>
        <w:t>scrutinzing</w:t>
      </w:r>
      <w:proofErr w:type="spellEnd"/>
      <w:r w:rsidRPr="004D3F4E">
        <w:rPr>
          <w:rFonts w:ascii="Goudy Old Style" w:eastAsia="Arial" w:hAnsi="Goudy Old Style"/>
          <w:color w:val="000000"/>
        </w:rPr>
        <w:t xml:space="preserve">, and addressing sticking and breaking points in anti-racism clinical practice via literature and examples (15 min; Objective 3; Belcher Platt &amp; </w:t>
      </w:r>
      <w:proofErr w:type="spellStart"/>
      <w:r w:rsidRPr="004D3F4E">
        <w:rPr>
          <w:rFonts w:ascii="Goudy Old Style" w:eastAsia="Arial" w:hAnsi="Goudy Old Style"/>
          <w:color w:val="000000"/>
        </w:rPr>
        <w:t>Haen</w:t>
      </w:r>
      <w:proofErr w:type="spellEnd"/>
      <w:r w:rsidRPr="004D3F4E">
        <w:rPr>
          <w:rFonts w:ascii="Goudy Old Style" w:eastAsia="Arial" w:hAnsi="Goudy Old Style"/>
          <w:color w:val="000000"/>
        </w:rPr>
        <w:t xml:space="preserve">, lecture and discussion) </w:t>
      </w:r>
    </w:p>
    <w:p w14:paraId="0048785A" w14:textId="77777777" w:rsidR="004D3F4E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eastAsia="Arial" w:hAnsi="Goudy Old Style"/>
          <w:color w:val="000000"/>
        </w:rPr>
        <w:t xml:space="preserve">Declare shared commitments for continued antiracist practice and development after the workshop has ended (5 min; Objective 3; Belcher Platt &amp; </w:t>
      </w:r>
      <w:proofErr w:type="spellStart"/>
      <w:r w:rsidRPr="004D3F4E">
        <w:rPr>
          <w:rFonts w:ascii="Goudy Old Style" w:eastAsia="Arial" w:hAnsi="Goudy Old Style"/>
          <w:color w:val="000000"/>
        </w:rPr>
        <w:t>Haen</w:t>
      </w:r>
      <w:proofErr w:type="spellEnd"/>
      <w:r w:rsidRPr="004D3F4E">
        <w:rPr>
          <w:rFonts w:ascii="Goudy Old Style" w:eastAsia="Arial" w:hAnsi="Goudy Old Style"/>
          <w:color w:val="000000"/>
        </w:rPr>
        <w:t xml:space="preserve">, discussion) </w:t>
      </w:r>
    </w:p>
    <w:p w14:paraId="589D2F74" w14:textId="773DCBFD" w:rsidR="00EA1882" w:rsidRPr="004D3F4E" w:rsidRDefault="004D3F4E" w:rsidP="004D3F4E">
      <w:pPr>
        <w:pStyle w:val="ListParagraph"/>
        <w:numPr>
          <w:ilvl w:val="0"/>
          <w:numId w:val="12"/>
        </w:num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eastAsia="Arial" w:hAnsi="Goudy Old Style"/>
          <w:color w:val="000000"/>
        </w:rPr>
        <w:t xml:space="preserve"> Participant Evaluations (5 min)</w:t>
      </w:r>
    </w:p>
    <w:p w14:paraId="18C7AB11" w14:textId="77777777" w:rsidR="004D3F4E" w:rsidRPr="004D3F4E" w:rsidRDefault="004D3F4E" w:rsidP="004D3F4E">
      <w:pPr>
        <w:pStyle w:val="ListParagraph"/>
        <w:spacing w:line="240" w:lineRule="exact"/>
        <w:ind w:left="1080"/>
        <w:rPr>
          <w:rFonts w:ascii="Goudy Old Style" w:hAnsi="Goudy Old Style"/>
          <w:b/>
        </w:rPr>
      </w:pPr>
    </w:p>
    <w:p w14:paraId="48512BCB" w14:textId="05716A4D" w:rsidR="00154679" w:rsidRPr="004D3F4E" w:rsidRDefault="00154679" w:rsidP="00154679">
      <w:pPr>
        <w:spacing w:line="240" w:lineRule="exact"/>
        <w:rPr>
          <w:rFonts w:ascii="Goudy Old Style" w:hAnsi="Goudy Old Style"/>
          <w:b/>
        </w:rPr>
      </w:pPr>
      <w:r w:rsidRPr="004D3F4E">
        <w:rPr>
          <w:rFonts w:ascii="Goudy Old Style" w:hAnsi="Goudy Old Style"/>
          <w:b/>
        </w:rPr>
        <w:t>Assessment Questions:</w:t>
      </w:r>
    </w:p>
    <w:p w14:paraId="73DA1B8E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1 (include possible answers)</w:t>
      </w:r>
    </w:p>
    <w:p w14:paraId="115FFCA4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In anti-racist practice, sticking and breaking points are inevitable. (T/F)</w:t>
      </w:r>
    </w:p>
    <w:p w14:paraId="2A6BE257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1</w:t>
      </w:r>
    </w:p>
    <w:p w14:paraId="07D6F761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True</w:t>
      </w:r>
    </w:p>
    <w:p w14:paraId="5CDCFA8F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2 (include possible answers)</w:t>
      </w:r>
    </w:p>
    <w:p w14:paraId="2485343D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In anti-racist practice, sticking points/breaking points are insurmountable. a) Insurmountable b) Signs of bad practice c) Reflective of lack of experience d) An opportunity for arriving at a deeper commitment to antiracist practice</w:t>
      </w:r>
    </w:p>
    <w:p w14:paraId="2531DE68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2</w:t>
      </w:r>
    </w:p>
    <w:p w14:paraId="052DF1E2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d</w:t>
      </w:r>
    </w:p>
    <w:p w14:paraId="4EA5241F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3 (include possible answers)</w:t>
      </w:r>
    </w:p>
    <w:p w14:paraId="30679BDE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 xml:space="preserve">Sticking and breaking points </w:t>
      </w:r>
      <w:proofErr w:type="gramStart"/>
      <w:r w:rsidRPr="004D3F4E">
        <w:rPr>
          <w:rFonts w:ascii="Goudy Old Style" w:hAnsi="Goudy Old Style"/>
          <w:sz w:val="24"/>
          <w:szCs w:val="24"/>
        </w:rPr>
        <w:t>are:</w:t>
      </w:r>
      <w:proofErr w:type="gramEnd"/>
      <w:r w:rsidRPr="004D3F4E">
        <w:rPr>
          <w:rFonts w:ascii="Goudy Old Style" w:hAnsi="Goudy Old Style"/>
          <w:sz w:val="24"/>
          <w:szCs w:val="24"/>
        </w:rPr>
        <w:t xml:space="preserve"> a) Internal b) External c) Both</w:t>
      </w:r>
    </w:p>
    <w:p w14:paraId="11D36EFD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3</w:t>
      </w:r>
    </w:p>
    <w:p w14:paraId="7755A37E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</w:t>
      </w:r>
    </w:p>
    <w:p w14:paraId="2B6E12D5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4 (include possible answers)</w:t>
      </w:r>
    </w:p>
    <w:p w14:paraId="38D54B2C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 xml:space="preserve">An example of an internal sticking/breaking points is: a) Family and community members lack of acceptance/adoption of anti-racism b) Lack of personal knowledge or understanding about </w:t>
      </w:r>
      <w:r w:rsidRPr="004D3F4E">
        <w:rPr>
          <w:rFonts w:ascii="Goudy Old Style" w:hAnsi="Goudy Old Style"/>
          <w:sz w:val="24"/>
          <w:szCs w:val="24"/>
        </w:rPr>
        <w:lastRenderedPageBreak/>
        <w:t xml:space="preserve">integrating anti-racism into clinical judgment and </w:t>
      </w:r>
      <w:proofErr w:type="gramStart"/>
      <w:r w:rsidRPr="004D3F4E">
        <w:rPr>
          <w:rFonts w:ascii="Goudy Old Style" w:hAnsi="Goudy Old Style"/>
          <w:sz w:val="24"/>
          <w:szCs w:val="24"/>
        </w:rPr>
        <w:t>intervention  c</w:t>
      </w:r>
      <w:proofErr w:type="gramEnd"/>
      <w:r w:rsidRPr="004D3F4E">
        <w:rPr>
          <w:rFonts w:ascii="Goudy Old Style" w:hAnsi="Goudy Old Style"/>
          <w:sz w:val="24"/>
          <w:szCs w:val="24"/>
        </w:rPr>
        <w:t>) Working in an institution or with colleagues who do not have an anti-racist focus/practice</w:t>
      </w:r>
    </w:p>
    <w:p w14:paraId="69B1AFFF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4</w:t>
      </w:r>
    </w:p>
    <w:p w14:paraId="60B9C1BF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b</w:t>
      </w:r>
    </w:p>
    <w:p w14:paraId="514A9CBE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5 (include possible answers)</w:t>
      </w:r>
    </w:p>
    <w:p w14:paraId="366C157E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 xml:space="preserve">An example of an external sticking/breaking points is: a) Insecurity about implementing anti-racist practice with white-identified clients b) Institutional mandates that prohibit anti-racist practice or interfere with implementation of anti-racism into clinical </w:t>
      </w:r>
      <w:proofErr w:type="gramStart"/>
      <w:r w:rsidRPr="004D3F4E">
        <w:rPr>
          <w:rFonts w:ascii="Goudy Old Style" w:hAnsi="Goudy Old Style"/>
          <w:sz w:val="24"/>
          <w:szCs w:val="24"/>
        </w:rPr>
        <w:t>work  c</w:t>
      </w:r>
      <w:proofErr w:type="gramEnd"/>
      <w:r w:rsidRPr="004D3F4E">
        <w:rPr>
          <w:rFonts w:ascii="Goudy Old Style" w:hAnsi="Goudy Old Style"/>
          <w:sz w:val="24"/>
          <w:szCs w:val="24"/>
        </w:rPr>
        <w:t>) Lack of personal knowledge or understanding about integrating anti-racism into clinical judgment and intervention</w:t>
      </w:r>
    </w:p>
    <w:p w14:paraId="6B814EE6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5</w:t>
      </w:r>
    </w:p>
    <w:p w14:paraId="5ABCBC5F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b</w:t>
      </w:r>
    </w:p>
    <w:p w14:paraId="15937B3B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6 (include possible answers)</w:t>
      </w:r>
    </w:p>
    <w:p w14:paraId="55EB3D6E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 xml:space="preserve">The point at which a person or practice is in danger of collapsing under stress or the situation has become critical is: a) A sticking point b) A breaking </w:t>
      </w:r>
      <w:proofErr w:type="gramStart"/>
      <w:r w:rsidRPr="004D3F4E">
        <w:rPr>
          <w:rFonts w:ascii="Goudy Old Style" w:hAnsi="Goudy Old Style"/>
          <w:sz w:val="24"/>
          <w:szCs w:val="24"/>
        </w:rPr>
        <w:t>point  c</w:t>
      </w:r>
      <w:proofErr w:type="gramEnd"/>
      <w:r w:rsidRPr="004D3F4E">
        <w:rPr>
          <w:rFonts w:ascii="Goudy Old Style" w:hAnsi="Goudy Old Style"/>
          <w:sz w:val="24"/>
          <w:szCs w:val="24"/>
        </w:rPr>
        <w:t>) Both</w:t>
      </w:r>
    </w:p>
    <w:p w14:paraId="3CA08B3D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6</w:t>
      </w:r>
    </w:p>
    <w:p w14:paraId="760A7AAC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b</w:t>
      </w:r>
    </w:p>
    <w:p w14:paraId="0B111EAF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7 (include possible answers)</w:t>
      </w:r>
    </w:p>
    <w:p w14:paraId="2AD2DF57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 xml:space="preserve">The point at which a person or practice is in danger of stalling due to resistance is: a) A sticking </w:t>
      </w:r>
      <w:proofErr w:type="gramStart"/>
      <w:r w:rsidRPr="004D3F4E">
        <w:rPr>
          <w:rFonts w:ascii="Goudy Old Style" w:hAnsi="Goudy Old Style"/>
          <w:sz w:val="24"/>
          <w:szCs w:val="24"/>
        </w:rPr>
        <w:t>point  b</w:t>
      </w:r>
      <w:proofErr w:type="gramEnd"/>
      <w:r w:rsidRPr="004D3F4E">
        <w:rPr>
          <w:rFonts w:ascii="Goudy Old Style" w:hAnsi="Goudy Old Style"/>
          <w:sz w:val="24"/>
          <w:szCs w:val="24"/>
        </w:rPr>
        <w:t>) A breaking point c) both</w:t>
      </w:r>
    </w:p>
    <w:p w14:paraId="76CED62F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7</w:t>
      </w:r>
    </w:p>
    <w:p w14:paraId="77FBB126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a</w:t>
      </w:r>
    </w:p>
    <w:p w14:paraId="0DC7E430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8 (include possible answers)</w:t>
      </w:r>
    </w:p>
    <w:p w14:paraId="4889AFC6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 xml:space="preserve">Sticking/Breaking Points solutions include (Select all that apply) a) Consulting with other anti-racist </w:t>
      </w:r>
      <w:proofErr w:type="gramStart"/>
      <w:r w:rsidRPr="004D3F4E">
        <w:rPr>
          <w:rFonts w:ascii="Goudy Old Style" w:hAnsi="Goudy Old Style"/>
          <w:sz w:val="24"/>
          <w:szCs w:val="24"/>
        </w:rPr>
        <w:t>practitioners  b</w:t>
      </w:r>
      <w:proofErr w:type="gramEnd"/>
      <w:r w:rsidRPr="004D3F4E">
        <w:rPr>
          <w:rFonts w:ascii="Goudy Old Style" w:hAnsi="Goudy Old Style"/>
          <w:sz w:val="24"/>
          <w:szCs w:val="24"/>
        </w:rPr>
        <w:t>) Breaking down your interactions into tiny little pieces and analyzing them one piece at a time  c) Analyzing the position at which your sticking point occurs  d) Correcting the underlying information, processing the underlying emotion, and/or buttressing the underlying distress</w:t>
      </w:r>
    </w:p>
    <w:p w14:paraId="65290A75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lastRenderedPageBreak/>
        <w:t>Correct Answer 8</w:t>
      </w:r>
    </w:p>
    <w:p w14:paraId="728307F0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a, b, c, d</w:t>
      </w:r>
    </w:p>
    <w:p w14:paraId="27D46F6F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9 (include possible answers)</w:t>
      </w:r>
    </w:p>
    <w:p w14:paraId="1BC3C8DF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 xml:space="preserve">All of the following are examples of sticking points except: a) Unable to integrate anti-racism and theoretical </w:t>
      </w:r>
      <w:proofErr w:type="gramStart"/>
      <w:r w:rsidRPr="004D3F4E">
        <w:rPr>
          <w:rFonts w:ascii="Goudy Old Style" w:hAnsi="Goudy Old Style"/>
          <w:sz w:val="24"/>
          <w:szCs w:val="24"/>
        </w:rPr>
        <w:t>orientation  b</w:t>
      </w:r>
      <w:proofErr w:type="gramEnd"/>
      <w:r w:rsidRPr="004D3F4E">
        <w:rPr>
          <w:rFonts w:ascii="Goudy Old Style" w:hAnsi="Goudy Old Style"/>
          <w:sz w:val="24"/>
          <w:szCs w:val="24"/>
        </w:rPr>
        <w:t>) Feeling depleted when implementing anti-racism due to personal experiences of racism c) Believing you have learned enough/do enough in your anti-racism journey</w:t>
      </w:r>
    </w:p>
    <w:p w14:paraId="40FDDACB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9</w:t>
      </w:r>
    </w:p>
    <w:p w14:paraId="65BF7808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a</w:t>
      </w:r>
    </w:p>
    <w:p w14:paraId="7D6CC662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Question 10 (include possible answers)</w:t>
      </w:r>
    </w:p>
    <w:p w14:paraId="5103AAFE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 xml:space="preserve">All of the following are examples of breaking points except: a) Unable to integrate anti-racism and theoretical orientation b) Feeling depleted when implementing anti-racism due to personal experiences of </w:t>
      </w:r>
      <w:proofErr w:type="gramStart"/>
      <w:r w:rsidRPr="004D3F4E">
        <w:rPr>
          <w:rFonts w:ascii="Goudy Old Style" w:hAnsi="Goudy Old Style"/>
          <w:sz w:val="24"/>
          <w:szCs w:val="24"/>
        </w:rPr>
        <w:t>racism  c</w:t>
      </w:r>
      <w:proofErr w:type="gramEnd"/>
      <w:r w:rsidRPr="004D3F4E">
        <w:rPr>
          <w:rFonts w:ascii="Goudy Old Style" w:hAnsi="Goudy Old Style"/>
          <w:sz w:val="24"/>
          <w:szCs w:val="24"/>
        </w:rPr>
        <w:t>) Being penalizing personally and professionally for your anti-racism stance limiting/threatening professional opportunities</w:t>
      </w:r>
    </w:p>
    <w:p w14:paraId="14C3A2D3" w14:textId="77777777" w:rsidR="004D3F4E" w:rsidRPr="004D3F4E" w:rsidRDefault="004D3F4E" w:rsidP="004D3F4E">
      <w:pPr>
        <w:pStyle w:val="DefaultLabel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Correct Answer 10</w:t>
      </w:r>
    </w:p>
    <w:p w14:paraId="304A363F" w14:textId="77777777" w:rsidR="004D3F4E" w:rsidRPr="004D3F4E" w:rsidRDefault="004D3F4E" w:rsidP="004D3F4E">
      <w:pPr>
        <w:pStyle w:val="DefaultValueStyle"/>
        <w:rPr>
          <w:rFonts w:ascii="Goudy Old Style" w:hAnsi="Goudy Old Style"/>
          <w:sz w:val="24"/>
          <w:szCs w:val="24"/>
        </w:rPr>
      </w:pPr>
      <w:r w:rsidRPr="004D3F4E">
        <w:rPr>
          <w:rFonts w:ascii="Goudy Old Style" w:hAnsi="Goudy Old Style"/>
          <w:sz w:val="24"/>
          <w:szCs w:val="24"/>
        </w:rPr>
        <w:t>b</w:t>
      </w:r>
    </w:p>
    <w:p w14:paraId="134C9C89" w14:textId="2892A1EF" w:rsidR="006959BF" w:rsidRPr="004D3F4E" w:rsidRDefault="006959BF" w:rsidP="004D3F4E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</w:p>
    <w:sectPr w:rsidR="006959BF" w:rsidRPr="004D3F4E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DB1"/>
    <w:multiLevelType w:val="hybridMultilevel"/>
    <w:tmpl w:val="87ECDDEA"/>
    <w:lvl w:ilvl="0" w:tplc="0C92ACD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D72"/>
    <w:multiLevelType w:val="hybridMultilevel"/>
    <w:tmpl w:val="AF1EA284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66E7"/>
    <w:multiLevelType w:val="hybridMultilevel"/>
    <w:tmpl w:val="F714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4209"/>
    <w:multiLevelType w:val="hybridMultilevel"/>
    <w:tmpl w:val="2012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4219"/>
    <w:multiLevelType w:val="hybridMultilevel"/>
    <w:tmpl w:val="62F248D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7632"/>
    <w:multiLevelType w:val="hybridMultilevel"/>
    <w:tmpl w:val="53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B696D"/>
    <w:multiLevelType w:val="hybridMultilevel"/>
    <w:tmpl w:val="225EE91C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EED"/>
    <w:multiLevelType w:val="hybridMultilevel"/>
    <w:tmpl w:val="A414064C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16B7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54893"/>
    <w:multiLevelType w:val="hybridMultilevel"/>
    <w:tmpl w:val="FB2A08DA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80451"/>
    <w:multiLevelType w:val="hybridMultilevel"/>
    <w:tmpl w:val="9CF26194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1"/>
  </w:num>
  <w:num w:numId="2" w16cid:durableId="366149818">
    <w:abstractNumId w:val="0"/>
  </w:num>
  <w:num w:numId="3" w16cid:durableId="300354057">
    <w:abstractNumId w:val="9"/>
  </w:num>
  <w:num w:numId="4" w16cid:durableId="111704676">
    <w:abstractNumId w:val="4"/>
  </w:num>
  <w:num w:numId="5" w16cid:durableId="2245546">
    <w:abstractNumId w:val="11"/>
  </w:num>
  <w:num w:numId="6" w16cid:durableId="1619408608">
    <w:abstractNumId w:val="8"/>
  </w:num>
  <w:num w:numId="7" w16cid:durableId="618684873">
    <w:abstractNumId w:val="7"/>
  </w:num>
  <w:num w:numId="8" w16cid:durableId="1958946757">
    <w:abstractNumId w:val="10"/>
  </w:num>
  <w:num w:numId="9" w16cid:durableId="48236698">
    <w:abstractNumId w:val="5"/>
  </w:num>
  <w:num w:numId="10" w16cid:durableId="2090419355">
    <w:abstractNumId w:val="3"/>
  </w:num>
  <w:num w:numId="11" w16cid:durableId="1425497353">
    <w:abstractNumId w:val="6"/>
  </w:num>
  <w:num w:numId="12" w16cid:durableId="2479254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5412F"/>
    <w:rsid w:val="00072D69"/>
    <w:rsid w:val="00076249"/>
    <w:rsid w:val="00086E32"/>
    <w:rsid w:val="00092FD2"/>
    <w:rsid w:val="00093992"/>
    <w:rsid w:val="000965C3"/>
    <w:rsid w:val="000A2318"/>
    <w:rsid w:val="000B311E"/>
    <w:rsid w:val="000B442C"/>
    <w:rsid w:val="000E489D"/>
    <w:rsid w:val="00116BA6"/>
    <w:rsid w:val="0012037C"/>
    <w:rsid w:val="001351D8"/>
    <w:rsid w:val="00154679"/>
    <w:rsid w:val="00181251"/>
    <w:rsid w:val="00183FD8"/>
    <w:rsid w:val="001B77E4"/>
    <w:rsid w:val="001D41BA"/>
    <w:rsid w:val="001D7B59"/>
    <w:rsid w:val="00271026"/>
    <w:rsid w:val="00274080"/>
    <w:rsid w:val="002A6439"/>
    <w:rsid w:val="002E0A96"/>
    <w:rsid w:val="0030324E"/>
    <w:rsid w:val="00324F5F"/>
    <w:rsid w:val="00327F6A"/>
    <w:rsid w:val="003406EC"/>
    <w:rsid w:val="0034610C"/>
    <w:rsid w:val="0035236F"/>
    <w:rsid w:val="00392576"/>
    <w:rsid w:val="00393676"/>
    <w:rsid w:val="00396518"/>
    <w:rsid w:val="00397FE5"/>
    <w:rsid w:val="003B0FB4"/>
    <w:rsid w:val="003C0CCC"/>
    <w:rsid w:val="003E38D2"/>
    <w:rsid w:val="003F1EC3"/>
    <w:rsid w:val="00435AA8"/>
    <w:rsid w:val="00436A05"/>
    <w:rsid w:val="00460E41"/>
    <w:rsid w:val="004A0CFF"/>
    <w:rsid w:val="004D3F4E"/>
    <w:rsid w:val="004E1E16"/>
    <w:rsid w:val="005352CD"/>
    <w:rsid w:val="0056729A"/>
    <w:rsid w:val="00571E1B"/>
    <w:rsid w:val="00584455"/>
    <w:rsid w:val="00597987"/>
    <w:rsid w:val="005A5D5E"/>
    <w:rsid w:val="005C6DA1"/>
    <w:rsid w:val="005D0292"/>
    <w:rsid w:val="005F30C7"/>
    <w:rsid w:val="00600F45"/>
    <w:rsid w:val="006153EB"/>
    <w:rsid w:val="00643083"/>
    <w:rsid w:val="00674B98"/>
    <w:rsid w:val="00677F0E"/>
    <w:rsid w:val="006908F6"/>
    <w:rsid w:val="0069127A"/>
    <w:rsid w:val="00691C1A"/>
    <w:rsid w:val="006959BF"/>
    <w:rsid w:val="006A1A9B"/>
    <w:rsid w:val="006C34E2"/>
    <w:rsid w:val="006D1DE3"/>
    <w:rsid w:val="006D49E9"/>
    <w:rsid w:val="006D64AA"/>
    <w:rsid w:val="006D79D8"/>
    <w:rsid w:val="006E7BE7"/>
    <w:rsid w:val="00701338"/>
    <w:rsid w:val="0070576F"/>
    <w:rsid w:val="007146FE"/>
    <w:rsid w:val="0072198C"/>
    <w:rsid w:val="007333A6"/>
    <w:rsid w:val="00745D3F"/>
    <w:rsid w:val="0076063D"/>
    <w:rsid w:val="007619E7"/>
    <w:rsid w:val="007A6ED5"/>
    <w:rsid w:val="007D7E60"/>
    <w:rsid w:val="007F4696"/>
    <w:rsid w:val="0083342A"/>
    <w:rsid w:val="0087521E"/>
    <w:rsid w:val="008939A9"/>
    <w:rsid w:val="008E707C"/>
    <w:rsid w:val="00904DB5"/>
    <w:rsid w:val="009073EB"/>
    <w:rsid w:val="00911103"/>
    <w:rsid w:val="00914540"/>
    <w:rsid w:val="009504E1"/>
    <w:rsid w:val="009914DE"/>
    <w:rsid w:val="00A016DD"/>
    <w:rsid w:val="00A16DE3"/>
    <w:rsid w:val="00A45576"/>
    <w:rsid w:val="00A62477"/>
    <w:rsid w:val="00A76E36"/>
    <w:rsid w:val="00A7742F"/>
    <w:rsid w:val="00A80445"/>
    <w:rsid w:val="00AA1B9B"/>
    <w:rsid w:val="00AE654D"/>
    <w:rsid w:val="00B450CA"/>
    <w:rsid w:val="00B6409E"/>
    <w:rsid w:val="00B72019"/>
    <w:rsid w:val="00B74662"/>
    <w:rsid w:val="00B870FC"/>
    <w:rsid w:val="00C01381"/>
    <w:rsid w:val="00C37FD9"/>
    <w:rsid w:val="00C47233"/>
    <w:rsid w:val="00CB428A"/>
    <w:rsid w:val="00CC5179"/>
    <w:rsid w:val="00D41402"/>
    <w:rsid w:val="00D4175F"/>
    <w:rsid w:val="00D57F87"/>
    <w:rsid w:val="00D86240"/>
    <w:rsid w:val="00DA084B"/>
    <w:rsid w:val="00DA1B03"/>
    <w:rsid w:val="00DC0DC7"/>
    <w:rsid w:val="00DE61A7"/>
    <w:rsid w:val="00E47B92"/>
    <w:rsid w:val="00E6595A"/>
    <w:rsid w:val="00E7120C"/>
    <w:rsid w:val="00E814A9"/>
    <w:rsid w:val="00E90FBF"/>
    <w:rsid w:val="00EA1882"/>
    <w:rsid w:val="00EA6706"/>
    <w:rsid w:val="00EB57BE"/>
    <w:rsid w:val="00EB70A1"/>
    <w:rsid w:val="00EB7FE6"/>
    <w:rsid w:val="00ED02C9"/>
    <w:rsid w:val="00ED3356"/>
    <w:rsid w:val="00F236C6"/>
    <w:rsid w:val="00F36488"/>
    <w:rsid w:val="00F47175"/>
    <w:rsid w:val="00F60FDD"/>
    <w:rsid w:val="00F61F81"/>
    <w:rsid w:val="00F64946"/>
    <w:rsid w:val="00F91FB2"/>
    <w:rsid w:val="00FA6638"/>
    <w:rsid w:val="00FB487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2023-03-01T01:51:00Z</dcterms:created>
  <dcterms:modified xsi:type="dcterms:W3CDTF">2023-03-01T01:54:00Z</dcterms:modified>
</cp:coreProperties>
</file>